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s="Arial"/>
          <w:sz w:val="32"/>
        </w:rPr>
      </w:pPr>
      <w:r>
        <w:rPr>
          <w:rFonts w:hint="eastAsia" w:ascii="仿宋_GB2312" w:hAnsi="华文细黑" w:eastAsia="仿宋_GB2312" w:cs="Arial"/>
          <w:sz w:val="32"/>
          <w:szCs w:val="32"/>
        </w:rPr>
        <w:t>同煤集团</w:t>
      </w:r>
      <w:r>
        <w:rPr>
          <w:rFonts w:hint="eastAsia" w:ascii="仿宋_GB2312" w:eastAsia="仿宋_GB2312" w:cs="Arial"/>
          <w:sz w:val="32"/>
          <w:szCs w:val="32"/>
        </w:rPr>
        <w:t>2019年</w:t>
      </w:r>
      <w:r>
        <w:rPr>
          <w:rFonts w:hint="eastAsia" w:ascii="仿宋_GB2312" w:hAnsi="华文细黑" w:eastAsia="仿宋_GB2312" w:cs="Arial"/>
          <w:sz w:val="32"/>
          <w:szCs w:val="32"/>
        </w:rPr>
        <w:t>科学技术奖申报书</w:t>
      </w:r>
    </w:p>
    <w:p>
      <w:pPr>
        <w:jc w:val="center"/>
        <w:rPr>
          <w:rFonts w:hint="eastAsia" w:ascii="仿宋_GB2312" w:eastAsia="仿宋_GB2312" w:cs="Arial"/>
          <w:sz w:val="28"/>
        </w:rPr>
      </w:pPr>
      <w:r>
        <w:rPr>
          <w:rFonts w:hint="eastAsia" w:ascii="仿宋_GB2312" w:eastAsia="仿宋_GB2312" w:cs="Arial"/>
          <w:sz w:val="28"/>
        </w:rPr>
        <w:t>一、项目基本情况</w:t>
      </w:r>
    </w:p>
    <w:tbl>
      <w:tblPr>
        <w:tblStyle w:val="4"/>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7"/>
        <w:gridCol w:w="205"/>
        <w:gridCol w:w="788"/>
        <w:gridCol w:w="1260"/>
        <w:gridCol w:w="15"/>
        <w:gridCol w:w="567"/>
        <w:gridCol w:w="903"/>
        <w:gridCol w:w="894"/>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奖   种</w:t>
            </w:r>
          </w:p>
        </w:tc>
        <w:tc>
          <w:tcPr>
            <w:tcW w:w="1417" w:type="dxa"/>
            <w:noWrap w:val="0"/>
            <w:vAlign w:val="center"/>
          </w:tcPr>
          <w:p>
            <w:pPr>
              <w:jc w:val="center"/>
              <w:rPr>
                <w:rFonts w:hint="eastAsia" w:ascii="仿宋_GB2312" w:eastAsia="仿宋_GB2312" w:cs="Arial"/>
                <w:sz w:val="24"/>
              </w:rPr>
            </w:pPr>
            <w:r>
              <w:rPr>
                <w:rFonts w:hint="eastAsia" w:ascii="仿宋_GB2312" w:eastAsia="仿宋_GB2312" w:cs="Arial"/>
                <w:sz w:val="24"/>
              </w:rPr>
              <w:t>科技进步</w:t>
            </w:r>
          </w:p>
        </w:tc>
        <w:tc>
          <w:tcPr>
            <w:tcW w:w="993" w:type="dxa"/>
            <w:gridSpan w:val="2"/>
            <w:noWrap w:val="0"/>
            <w:vAlign w:val="center"/>
          </w:tcPr>
          <w:p>
            <w:pPr>
              <w:jc w:val="center"/>
              <w:rPr>
                <w:rFonts w:hint="eastAsia" w:ascii="仿宋_GB2312" w:eastAsia="仿宋_GB2312" w:cs="Arial"/>
                <w:sz w:val="24"/>
              </w:rPr>
            </w:pPr>
          </w:p>
        </w:tc>
        <w:tc>
          <w:tcPr>
            <w:tcW w:w="1260" w:type="dxa"/>
            <w:noWrap w:val="0"/>
            <w:vAlign w:val="center"/>
          </w:tcPr>
          <w:p>
            <w:pPr>
              <w:jc w:val="center"/>
              <w:rPr>
                <w:rFonts w:hint="eastAsia" w:ascii="仿宋_GB2312" w:eastAsia="仿宋_GB2312" w:cs="Arial"/>
                <w:sz w:val="28"/>
              </w:rPr>
            </w:pPr>
            <w:r>
              <w:rPr>
                <w:rFonts w:hint="eastAsia" w:ascii="仿宋_GB2312" w:eastAsia="仿宋_GB2312" w:cs="Arial"/>
                <w:sz w:val="24"/>
              </w:rPr>
              <w:t>技术发明</w:t>
            </w:r>
          </w:p>
        </w:tc>
        <w:tc>
          <w:tcPr>
            <w:tcW w:w="3060" w:type="dxa"/>
            <w:gridSpan w:val="5"/>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项目名称</w:t>
            </w:r>
          </w:p>
        </w:tc>
        <w:tc>
          <w:tcPr>
            <w:tcW w:w="6730" w:type="dxa"/>
            <w:gridSpan w:val="9"/>
            <w:noWrap w:val="0"/>
            <w:vAlign w:val="center"/>
          </w:tcPr>
          <w:p>
            <w:pPr>
              <w:jc w:val="center"/>
              <w:rPr>
                <w:rFonts w:hint="eastAsia" w:ascii="仿宋_GB2312" w:eastAsia="仿宋_GB2312" w:cs="Arial"/>
                <w:sz w:val="28"/>
              </w:rPr>
            </w:pPr>
            <w:r>
              <w:rPr>
                <w:rFonts w:hint="eastAsia" w:ascii="仿宋_GB2312" w:eastAsia="仿宋_GB2312" w:cs="Arial"/>
                <w:sz w:val="28"/>
                <w:lang w:eastAsia="zh-CN"/>
              </w:rPr>
              <w:t>上覆采空区瓦斯抽采技术</w:t>
            </w:r>
            <w:r>
              <w:rPr>
                <w:rFonts w:hint="eastAsia" w:ascii="仿宋_GB2312" w:eastAsia="仿宋_GB2312" w:cs="Arial"/>
                <w:sz w:val="28"/>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主要完成人</w:t>
            </w:r>
          </w:p>
        </w:tc>
        <w:tc>
          <w:tcPr>
            <w:tcW w:w="6730" w:type="dxa"/>
            <w:gridSpan w:val="9"/>
            <w:noWrap w:val="0"/>
            <w:vAlign w:val="center"/>
          </w:tcPr>
          <w:p>
            <w:pPr>
              <w:jc w:val="center"/>
              <w:rPr>
                <w:rFonts w:hint="eastAsia" w:ascii="仿宋_GB2312" w:eastAsia="仿宋_GB2312" w:cs="Arial"/>
                <w:sz w:val="28"/>
                <w:lang w:val="en-US" w:eastAsia="zh-CN"/>
              </w:rPr>
            </w:pPr>
            <w:r>
              <w:rPr>
                <w:rFonts w:hint="eastAsia" w:ascii="仿宋_GB2312" w:eastAsia="仿宋_GB2312" w:cs="Arial"/>
                <w:sz w:val="28"/>
                <w:lang w:val="en-US" w:eastAsia="zh-CN"/>
              </w:rPr>
              <w:t>苗勇、刘军、史慧玲</w:t>
            </w:r>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主要完成单位</w:t>
            </w:r>
          </w:p>
        </w:tc>
        <w:tc>
          <w:tcPr>
            <w:tcW w:w="6730" w:type="dxa"/>
            <w:gridSpan w:val="9"/>
            <w:noWrap w:val="0"/>
            <w:vAlign w:val="center"/>
          </w:tcPr>
          <w:p>
            <w:pPr>
              <w:jc w:val="center"/>
              <w:rPr>
                <w:rFonts w:hint="eastAsia" w:ascii="仿宋_GB2312" w:eastAsia="仿宋_GB2312" w:cs="Arial"/>
                <w:sz w:val="28"/>
                <w:lang w:val="en-US" w:eastAsia="zh-CN"/>
              </w:rPr>
            </w:pPr>
            <w:r>
              <w:rPr>
                <w:rFonts w:hint="eastAsia" w:ascii="仿宋_GB2312" w:eastAsia="仿宋_GB2312" w:cs="Arial"/>
                <w:sz w:val="28"/>
                <w:lang w:eastAsia="zh-CN"/>
              </w:rPr>
              <w:t>四台矿通风区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985" w:type="dxa"/>
            <w:vMerge w:val="restart"/>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申报单位意见</w:t>
            </w:r>
          </w:p>
          <w:p>
            <w:pPr>
              <w:spacing w:line="400" w:lineRule="exact"/>
              <w:jc w:val="center"/>
              <w:rPr>
                <w:rFonts w:hint="eastAsia" w:ascii="仿宋_GB2312" w:eastAsia="仿宋_GB2312" w:cs="Arial"/>
                <w:sz w:val="28"/>
              </w:rPr>
            </w:pPr>
            <w:r>
              <w:rPr>
                <w:rFonts w:hint="eastAsia" w:ascii="仿宋_GB2312" w:eastAsia="仿宋_GB2312" w:cs="Arial"/>
                <w:sz w:val="28"/>
              </w:rPr>
              <w:t>(盖  章)</w:t>
            </w:r>
          </w:p>
        </w:tc>
        <w:tc>
          <w:tcPr>
            <w:tcW w:w="4252" w:type="dxa"/>
            <w:gridSpan w:val="6"/>
            <w:vMerge w:val="restart"/>
            <w:noWrap w:val="0"/>
            <w:vAlign w:val="center"/>
          </w:tcPr>
          <w:p>
            <w:pPr>
              <w:jc w:val="center"/>
              <w:rPr>
                <w:rFonts w:hint="eastAsia" w:ascii="仿宋_GB2312" w:eastAsia="仿宋_GB2312" w:cs="Arial"/>
                <w:sz w:val="28"/>
              </w:rPr>
            </w:pPr>
          </w:p>
        </w:tc>
        <w:tc>
          <w:tcPr>
            <w:tcW w:w="1797" w:type="dxa"/>
            <w:gridSpan w:val="2"/>
            <w:noWrap w:val="0"/>
            <w:vAlign w:val="center"/>
          </w:tcPr>
          <w:p>
            <w:pPr>
              <w:spacing w:line="400" w:lineRule="exact"/>
              <w:jc w:val="center"/>
              <w:rPr>
                <w:rFonts w:hint="eastAsia" w:ascii="仿宋_GB2312" w:eastAsia="仿宋_GB2312" w:cs="Arial"/>
                <w:sz w:val="24"/>
              </w:rPr>
            </w:pPr>
            <w:r>
              <w:rPr>
                <w:rFonts w:hint="eastAsia" w:ascii="仿宋_GB2312" w:eastAsia="仿宋_GB2312" w:cs="Arial"/>
                <w:sz w:val="24"/>
              </w:rPr>
              <w:t>申报奖励等级</w:t>
            </w:r>
          </w:p>
        </w:tc>
        <w:tc>
          <w:tcPr>
            <w:tcW w:w="681" w:type="dxa"/>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5" w:type="dxa"/>
            <w:vMerge w:val="continue"/>
            <w:noWrap w:val="0"/>
            <w:vAlign w:val="center"/>
          </w:tcPr>
          <w:p>
            <w:pPr>
              <w:spacing w:line="400" w:lineRule="exact"/>
              <w:jc w:val="center"/>
              <w:rPr>
                <w:rFonts w:hint="eastAsia" w:ascii="仿宋_GB2312" w:eastAsia="仿宋_GB2312" w:cs="Arial"/>
                <w:sz w:val="28"/>
              </w:rPr>
            </w:pPr>
          </w:p>
        </w:tc>
        <w:tc>
          <w:tcPr>
            <w:tcW w:w="4252" w:type="dxa"/>
            <w:gridSpan w:val="6"/>
            <w:vMerge w:val="continue"/>
            <w:noWrap w:val="0"/>
            <w:vAlign w:val="center"/>
          </w:tcPr>
          <w:p>
            <w:pPr>
              <w:jc w:val="center"/>
              <w:rPr>
                <w:rFonts w:hint="eastAsia" w:ascii="仿宋_GB2312" w:eastAsia="仿宋_GB2312" w:cs="Arial"/>
                <w:sz w:val="28"/>
              </w:rPr>
            </w:pPr>
          </w:p>
        </w:tc>
        <w:tc>
          <w:tcPr>
            <w:tcW w:w="1797" w:type="dxa"/>
            <w:gridSpan w:val="2"/>
            <w:noWrap w:val="0"/>
            <w:vAlign w:val="center"/>
          </w:tcPr>
          <w:p>
            <w:pPr>
              <w:spacing w:line="400" w:lineRule="exact"/>
              <w:jc w:val="center"/>
              <w:rPr>
                <w:rFonts w:hint="eastAsia" w:ascii="仿宋_GB2312" w:eastAsia="仿宋_GB2312" w:cs="Arial"/>
                <w:sz w:val="24"/>
              </w:rPr>
            </w:pPr>
            <w:r>
              <w:rPr>
                <w:rFonts w:hint="eastAsia" w:ascii="仿宋_GB2312" w:eastAsia="仿宋_GB2312" w:cs="Arial"/>
                <w:sz w:val="24"/>
              </w:rPr>
              <w:t>项目可否公布</w:t>
            </w:r>
          </w:p>
        </w:tc>
        <w:tc>
          <w:tcPr>
            <w:tcW w:w="681" w:type="dxa"/>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主题词</w:t>
            </w:r>
          </w:p>
        </w:tc>
        <w:tc>
          <w:tcPr>
            <w:tcW w:w="6730" w:type="dxa"/>
            <w:gridSpan w:val="9"/>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8"/>
                <w:lang w:eastAsia="zh-CN"/>
              </w:rPr>
              <w:t>瓦斯抽放</w:t>
            </w:r>
            <w:r>
              <w:rPr>
                <w:rFonts w:hint="eastAsia" w:ascii="仿宋_GB2312" w:eastAsia="仿宋_GB2312" w:cs="Arial"/>
                <w:sz w:val="28"/>
                <w:lang w:val="en-US" w:eastAsia="zh-CN"/>
              </w:rPr>
              <w:t xml:space="preserve">  均压通风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专业分类</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一通三防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任务来源</w:t>
            </w:r>
          </w:p>
        </w:tc>
        <w:tc>
          <w:tcPr>
            <w:tcW w:w="6730" w:type="dxa"/>
            <w:gridSpan w:val="9"/>
            <w:noWrap w:val="0"/>
            <w:vAlign w:val="center"/>
          </w:tcPr>
          <w:p>
            <w:pPr>
              <w:spacing w:line="400" w:lineRule="exact"/>
              <w:jc w:val="left"/>
              <w:rPr>
                <w:rFonts w:hint="eastAsia" w:ascii="仿宋_GB2312" w:eastAsia="仿宋_GB2312" w:cs="Arial"/>
                <w:sz w:val="24"/>
              </w:rPr>
            </w:pPr>
            <w:r>
              <w:rPr>
                <w:rFonts w:hint="eastAsia" w:ascii="仿宋_GB2312" w:eastAsia="仿宋_GB2312" w:cs="Arial"/>
                <w:sz w:val="24"/>
              </w:rPr>
              <w:t xml:space="preserve">A．国家计划   B．部委计划   C．省、市、自治区计划 </w:t>
            </w:r>
          </w:p>
          <w:p>
            <w:pPr>
              <w:spacing w:line="400" w:lineRule="exact"/>
              <w:jc w:val="left"/>
              <w:rPr>
                <w:rFonts w:hint="eastAsia" w:ascii="仿宋_GB2312" w:eastAsia="仿宋_GB2312" w:cs="Arial"/>
                <w:sz w:val="24"/>
              </w:rPr>
            </w:pPr>
            <w:r>
              <w:rPr>
                <w:rFonts w:hint="eastAsia" w:ascii="仿宋_GB2312" w:eastAsia="仿宋_GB2312" w:cs="Arial"/>
                <w:sz w:val="24"/>
              </w:rPr>
              <w:t xml:space="preserve">D．基金资助   E．国际合作   F．其它单位委托    </w:t>
            </w:r>
          </w:p>
          <w:p>
            <w:pPr>
              <w:spacing w:line="400" w:lineRule="exact"/>
              <w:jc w:val="left"/>
              <w:rPr>
                <w:rFonts w:hint="eastAsia" w:ascii="仿宋_GB2312" w:eastAsia="仿宋_GB2312" w:cs="Arial"/>
                <w:sz w:val="28"/>
              </w:rPr>
            </w:pPr>
            <w:r>
              <w:rPr>
                <w:rFonts w:hint="eastAsia" w:ascii="仿宋_GB2312" w:eastAsia="仿宋_GB2312" w:cs="Arial"/>
                <w:b/>
                <w:bCs/>
                <w:sz w:val="24"/>
              </w:rPr>
              <w:t xml:space="preserve">G．自选  </w:t>
            </w:r>
            <w:r>
              <w:rPr>
                <w:rFonts w:hint="eastAsia" w:ascii="仿宋_GB2312" w:eastAsia="仿宋_GB2312" w:cs="Arial"/>
                <w:sz w:val="24"/>
              </w:rPr>
              <w:t xml:space="preserve">     H．非职务     I．其它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项目起止时间</w:t>
            </w:r>
          </w:p>
        </w:tc>
        <w:tc>
          <w:tcPr>
            <w:tcW w:w="6730" w:type="dxa"/>
            <w:gridSpan w:val="9"/>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组织评价单位</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同煤集团技术中心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评价时间</w:t>
            </w:r>
          </w:p>
        </w:tc>
        <w:tc>
          <w:tcPr>
            <w:tcW w:w="3685" w:type="dxa"/>
            <w:gridSpan w:val="5"/>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8"/>
                <w:lang w:val="en-US" w:eastAsia="zh-CN"/>
              </w:rPr>
              <w:t>2019年5月13日</w:t>
            </w: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成果水平</w:t>
            </w:r>
          </w:p>
        </w:tc>
        <w:tc>
          <w:tcPr>
            <w:tcW w:w="1575" w:type="dxa"/>
            <w:gridSpan w:val="2"/>
            <w:noWrap w:val="0"/>
            <w:vAlign w:val="center"/>
          </w:tcPr>
          <w:p>
            <w:pPr>
              <w:jc w:val="center"/>
              <w:rPr>
                <w:rFonts w:hint="eastAsia" w:ascii="仿宋_GB2312" w:eastAsia="仿宋_GB2312" w:cs="Arial"/>
                <w:sz w:val="28"/>
                <w:lang w:val="en-US" w:eastAsia="zh-CN"/>
              </w:rPr>
            </w:pPr>
            <w:r>
              <w:rPr>
                <w:rFonts w:hint="eastAsia" w:ascii="仿宋_GB2312" w:eastAsia="仿宋_GB2312" w:cs="Arial"/>
                <w:sz w:val="28"/>
                <w:lang w:val="en-US" w:eastAsia="zh-CN"/>
              </w:rPr>
              <w:t>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vMerge w:val="restart"/>
            <w:noWrap w:val="0"/>
            <w:vAlign w:val="center"/>
          </w:tcPr>
          <w:p>
            <w:pPr>
              <w:jc w:val="center"/>
              <w:rPr>
                <w:rFonts w:hint="eastAsia" w:ascii="仿宋_GB2312" w:eastAsia="仿宋_GB2312" w:cs="Arial"/>
                <w:sz w:val="28"/>
              </w:rPr>
            </w:pPr>
            <w:r>
              <w:rPr>
                <w:rFonts w:hint="eastAsia" w:ascii="仿宋_GB2312" w:eastAsia="仿宋_GB2312" w:cs="Arial"/>
                <w:sz w:val="28"/>
              </w:rPr>
              <w:t>申报单位</w:t>
            </w:r>
          </w:p>
        </w:tc>
        <w:tc>
          <w:tcPr>
            <w:tcW w:w="1622"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联系人</w:t>
            </w:r>
          </w:p>
        </w:tc>
        <w:tc>
          <w:tcPr>
            <w:tcW w:w="2063" w:type="dxa"/>
            <w:gridSpan w:val="3"/>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张希文</w:t>
            </w: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所在部门</w:t>
            </w:r>
          </w:p>
        </w:tc>
        <w:tc>
          <w:tcPr>
            <w:tcW w:w="1575" w:type="dxa"/>
            <w:gridSpan w:val="2"/>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985" w:type="dxa"/>
            <w:vMerge w:val="continue"/>
            <w:noWrap w:val="0"/>
            <w:vAlign w:val="center"/>
          </w:tcPr>
          <w:p>
            <w:pPr>
              <w:jc w:val="center"/>
              <w:rPr>
                <w:rFonts w:hint="eastAsia" w:ascii="仿宋_GB2312" w:eastAsia="仿宋_GB2312" w:cs="Arial"/>
                <w:sz w:val="28"/>
              </w:rPr>
            </w:pPr>
          </w:p>
        </w:tc>
        <w:tc>
          <w:tcPr>
            <w:tcW w:w="1622"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联系电话</w:t>
            </w:r>
          </w:p>
        </w:tc>
        <w:tc>
          <w:tcPr>
            <w:tcW w:w="2063" w:type="dxa"/>
            <w:gridSpan w:val="3"/>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8"/>
                <w:lang w:val="en-US" w:eastAsia="zh-CN"/>
              </w:rPr>
              <w:t>18636210654</w:t>
            </w: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移动电话</w:t>
            </w:r>
          </w:p>
        </w:tc>
        <w:tc>
          <w:tcPr>
            <w:tcW w:w="1575" w:type="dxa"/>
            <w:gridSpan w:val="2"/>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1"/>
                <w:szCs w:val="21"/>
                <w:lang w:val="en-US" w:eastAsia="zh-CN"/>
              </w:rPr>
              <w:t>139348419765</w:t>
            </w:r>
          </w:p>
        </w:tc>
      </w:tr>
    </w:tbl>
    <w:p>
      <w:pPr>
        <w:jc w:val="center"/>
        <w:rPr>
          <w:rFonts w:hint="eastAsia" w:ascii="仿宋_GB2312" w:eastAsia="仿宋_GB2312" w:cs="Arial"/>
          <w:sz w:val="28"/>
        </w:rPr>
      </w:pPr>
    </w:p>
    <w:p>
      <w:pPr>
        <w:jc w:val="center"/>
        <w:rPr>
          <w:rFonts w:hint="eastAsia" w:ascii="仿宋_GB2312" w:eastAsia="仿宋_GB2312" w:cs="Arial"/>
          <w:sz w:val="28"/>
        </w:rPr>
      </w:pPr>
      <w:r>
        <w:rPr>
          <w:rFonts w:hint="eastAsia" w:ascii="仿宋_GB2312" w:eastAsia="仿宋_GB2312" w:cs="Arial"/>
          <w:sz w:val="28"/>
        </w:rPr>
        <w:t>二、项目简介</w:t>
      </w:r>
    </w:p>
    <w:tbl>
      <w:tblPr>
        <w:tblStyle w:val="4"/>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keepNext w:val="0"/>
              <w:keepLines w:val="0"/>
              <w:pageBreakBefore w:val="0"/>
              <w:widowControl/>
              <w:kinsoku/>
              <w:overflowPunct/>
              <w:topLinePunct w:val="0"/>
              <w:autoSpaceDE/>
              <w:autoSpaceDN/>
              <w:bidi w:val="0"/>
              <w:spacing w:line="480" w:lineRule="exact"/>
              <w:ind w:firstLine="480" w:firstLineChars="200"/>
              <w:textAlignment w:val="auto"/>
              <w:rPr>
                <w:rFonts w:hint="eastAsia" w:ascii="宋体" w:hAnsi="宋体" w:cs="宋体"/>
                <w:sz w:val="24"/>
                <w:lang w:eastAsia="zh-CN"/>
              </w:rPr>
            </w:pPr>
          </w:p>
          <w:p>
            <w:pPr>
              <w:keepNext w:val="0"/>
              <w:keepLines w:val="0"/>
              <w:pageBreakBefore w:val="0"/>
              <w:widowControl/>
              <w:kinsoku/>
              <w:overflowPunct/>
              <w:topLinePunct w:val="0"/>
              <w:autoSpaceDE/>
              <w:autoSpaceDN/>
              <w:bidi w:val="0"/>
              <w:spacing w:line="480" w:lineRule="exact"/>
              <w:ind w:firstLine="480" w:firstLineChars="200"/>
              <w:textAlignment w:val="auto"/>
              <w:rPr>
                <w:rFonts w:hint="eastAsia" w:ascii="仿宋_GB2312" w:eastAsia="仿宋_GB2312" w:cs="Arial"/>
                <w:sz w:val="28"/>
                <w:lang w:val="en-US" w:eastAsia="zh-CN"/>
              </w:rPr>
            </w:pPr>
            <w:r>
              <w:rPr>
                <w:rFonts w:hint="eastAsia" w:ascii="宋体" w:hAnsi="宋体" w:cs="宋体"/>
                <w:sz w:val="24"/>
                <w:lang w:eastAsia="zh-CN"/>
              </w:rPr>
              <w:t>通过对</w:t>
            </w:r>
            <w:r>
              <w:rPr>
                <w:rFonts w:hint="eastAsia" w:ascii="宋体" w:hAnsi="宋体" w:eastAsia="宋体" w:cs="宋体"/>
                <w:sz w:val="24"/>
              </w:rPr>
              <w:t>307盘区14#煤层8723工作面</w:t>
            </w:r>
            <w:r>
              <w:rPr>
                <w:rFonts w:hint="default" w:ascii="宋体" w:hAnsi="宋体" w:eastAsia="宋体" w:cs="宋体"/>
                <w:sz w:val="24"/>
                <w:lang w:val="en-US" w:eastAsia="zh-CN"/>
              </w:rPr>
              <w:t>采空区瓦斯赋存状态分析</w:t>
            </w:r>
            <w:r>
              <w:rPr>
                <w:rFonts w:hint="eastAsia" w:ascii="宋体" w:hAnsi="宋体" w:cs="宋体"/>
                <w:sz w:val="24"/>
                <w:lang w:val="en-US" w:eastAsia="zh-CN"/>
              </w:rPr>
              <w:t>，</w:t>
            </w:r>
            <w:r>
              <w:rPr>
                <w:rFonts w:hint="default" w:ascii="宋体" w:hAnsi="宋体" w:eastAsia="宋体" w:cs="宋体"/>
                <w:sz w:val="24"/>
                <w:lang w:val="en-US" w:eastAsia="zh-CN"/>
              </w:rPr>
              <w:t>采空区瓦斯及风流（风压）状态的控制</w:t>
            </w:r>
            <w:r>
              <w:rPr>
                <w:rFonts w:hint="eastAsia" w:ascii="宋体" w:hAnsi="宋体" w:cs="宋体"/>
                <w:sz w:val="24"/>
                <w:lang w:val="en-US" w:eastAsia="zh-CN"/>
              </w:rPr>
              <w:t>，</w:t>
            </w:r>
            <w:r>
              <w:rPr>
                <w:rFonts w:hint="eastAsia" w:ascii="宋体" w:hAnsi="宋体" w:eastAsia="宋体" w:cs="宋体"/>
                <w:sz w:val="24"/>
                <w:lang w:val="en-US" w:eastAsia="zh-CN"/>
              </w:rPr>
              <w:t>瓦斯抽放对采空区的影响</w:t>
            </w:r>
            <w:r>
              <w:rPr>
                <w:rFonts w:hint="eastAsia" w:ascii="宋体" w:hAnsi="宋体" w:cs="宋体"/>
                <w:sz w:val="24"/>
                <w:lang w:val="en-US" w:eastAsia="zh-CN"/>
              </w:rPr>
              <w:t>；</w:t>
            </w:r>
            <w:r>
              <w:rPr>
                <w:rFonts w:hint="eastAsia" w:ascii="宋体" w:hAnsi="宋体" w:eastAsia="宋体" w:cs="宋体"/>
                <w:sz w:val="24"/>
                <w:lang w:val="en-US" w:eastAsia="zh-CN"/>
              </w:rPr>
              <w:t>采煤工作面升压，上部采空区抽放瓦斯效果分析</w:t>
            </w:r>
            <w:r>
              <w:rPr>
                <w:rFonts w:hint="eastAsia" w:ascii="宋体" w:hAnsi="宋体" w:cs="宋体"/>
                <w:sz w:val="24"/>
                <w:lang w:val="en-US" w:eastAsia="zh-CN"/>
              </w:rPr>
              <w:t>。</w:t>
            </w:r>
            <w:r>
              <w:rPr>
                <w:rFonts w:hint="eastAsia" w:ascii="宋体" w:hAnsi="宋体" w:eastAsia="宋体" w:cs="宋体"/>
                <w:sz w:val="24"/>
                <w:szCs w:val="28"/>
              </w:rPr>
              <w:t>在降低工作面与上部采空区压差基础上，为保证其防</w:t>
            </w:r>
            <w:r>
              <w:rPr>
                <w:rFonts w:hint="eastAsia" w:ascii="宋体" w:hAnsi="宋体" w:eastAsia="宋体" w:cs="宋体"/>
                <w:sz w:val="24"/>
                <w:szCs w:val="24"/>
              </w:rPr>
              <w:t>治</w:t>
            </w:r>
            <w:r>
              <w:rPr>
                <w:rFonts w:hint="eastAsia" w:ascii="宋体" w:hAnsi="宋体" w:eastAsia="宋体" w:cs="宋体"/>
                <w:sz w:val="24"/>
                <w:szCs w:val="28"/>
              </w:rPr>
              <w:t>瓦</w:t>
            </w:r>
            <w:r>
              <w:rPr>
                <w:rFonts w:hint="eastAsia" w:ascii="宋体" w:hAnsi="宋体" w:eastAsia="宋体" w:cs="宋体"/>
                <w:sz w:val="24"/>
                <w:szCs w:val="24"/>
              </w:rPr>
              <w:t>斯</w:t>
            </w:r>
            <w:r>
              <w:rPr>
                <w:rFonts w:hint="eastAsia" w:ascii="宋体" w:hAnsi="宋体" w:eastAsia="宋体" w:cs="宋体"/>
                <w:sz w:val="24"/>
                <w:szCs w:val="28"/>
              </w:rPr>
              <w:t>的有效性，对该工作面上部采空区同时进行瓦斯抽放，实施</w:t>
            </w:r>
            <w:r>
              <w:rPr>
                <w:rFonts w:hint="eastAsia" w:ascii="宋体" w:hAnsi="宋体" w:eastAsia="宋体" w:cs="宋体"/>
                <w:sz w:val="24"/>
                <w:szCs w:val="28"/>
                <w:lang w:eastAsia="zh-CN"/>
              </w:rPr>
              <w:t>不采用局部通风机的</w:t>
            </w:r>
            <w:r>
              <w:rPr>
                <w:rFonts w:hint="eastAsia" w:ascii="宋体" w:hAnsi="宋体" w:eastAsia="宋体" w:cs="宋体"/>
                <w:sz w:val="24"/>
                <w:szCs w:val="28"/>
              </w:rPr>
              <w:t>升压</w:t>
            </w:r>
            <w:r>
              <w:rPr>
                <w:rFonts w:hint="eastAsia" w:ascii="宋体" w:hAnsi="宋体" w:eastAsia="宋体" w:cs="宋体"/>
                <w:sz w:val="24"/>
                <w:szCs w:val="28"/>
                <w:lang w:eastAsia="zh-CN"/>
              </w:rPr>
              <w:t>及</w:t>
            </w:r>
            <w:r>
              <w:rPr>
                <w:rFonts w:hint="eastAsia" w:ascii="宋体" w:hAnsi="宋体" w:eastAsia="宋体" w:cs="宋体"/>
                <w:sz w:val="24"/>
                <w:szCs w:val="28"/>
              </w:rPr>
              <w:t>抽放综合防治瓦斯措施，起到了良好效果。</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sz w:val="24"/>
                <w:szCs w:val="24"/>
                <w:lang w:val="en-US" w:eastAsia="zh-CN"/>
              </w:rPr>
              <w:t>将</w:t>
            </w:r>
            <w:r>
              <w:rPr>
                <w:rFonts w:hint="eastAsia" w:ascii="宋体" w:hAnsi="宋体" w:eastAsia="宋体" w:cs="宋体"/>
                <w:color w:val="auto"/>
                <w:sz w:val="24"/>
                <w:szCs w:val="28"/>
              </w:rPr>
              <w:t>瓦斯监测测定数据</w:t>
            </w:r>
            <w:r>
              <w:rPr>
                <w:rFonts w:hint="eastAsia" w:ascii="宋体" w:hAnsi="宋体" w:eastAsia="宋体" w:cs="宋体"/>
                <w:color w:val="auto"/>
                <w:sz w:val="24"/>
                <w:szCs w:val="28"/>
                <w:lang w:eastAsia="zh-CN"/>
              </w:rPr>
              <w:t>应用</w:t>
            </w:r>
            <w:r>
              <w:rPr>
                <w:rFonts w:hint="eastAsia" w:ascii="宋体" w:hAnsi="宋体" w:eastAsia="宋体" w:cs="宋体"/>
                <w:color w:val="auto"/>
                <w:sz w:val="24"/>
                <w:szCs w:val="28"/>
              </w:rPr>
              <w:t>随机模拟</w:t>
            </w:r>
            <w:r>
              <w:rPr>
                <w:rFonts w:hint="eastAsia" w:ascii="宋体" w:hAnsi="宋体" w:eastAsia="宋体" w:cs="宋体"/>
                <w:color w:val="auto"/>
                <w:sz w:val="24"/>
                <w:szCs w:val="28"/>
                <w:lang w:eastAsia="zh-CN"/>
              </w:rPr>
              <w:t>技术进行关联</w:t>
            </w:r>
            <w:r>
              <w:rPr>
                <w:rFonts w:hint="eastAsia" w:ascii="宋体" w:hAnsi="宋体" w:eastAsia="宋体" w:cs="宋体"/>
                <w:color w:val="auto"/>
                <w:sz w:val="24"/>
                <w:szCs w:val="28"/>
              </w:rPr>
              <w:t>分析，甄别出与瓦斯表现有关联的因素，并找出其间的关</w:t>
            </w:r>
            <w:r>
              <w:rPr>
                <w:rFonts w:hint="eastAsia" w:ascii="宋体" w:hAnsi="宋体" w:eastAsia="宋体" w:cs="宋体"/>
                <w:sz w:val="24"/>
                <w:szCs w:val="28"/>
              </w:rPr>
              <w:t>联规律</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sz w:val="24"/>
                <w:szCs w:val="28"/>
              </w:rPr>
              <w:t>利用矿井主要通风机的总风压与调节风窗构成的升压系统，是在需要改变分支风路的风压关系的风路上设置调节风窗，当风流从风窗过风口流过时增加阻力，使流经窗口的风流产生局部损失，从而提高调节风窗前分支风路的风压。风窗使其前方风流风压升高，使其后方风流风压降低，风窗的风流产生局部损失值就等于需要改变分支风路风压的升压值。当在采煤工作面回风顺槽设置调节窗后，进风巷和采煤工作面的压能将会继续升高，抑制采煤工作面上部采空区内的瓦斯等有害气体泄出。</w:t>
            </w:r>
          </w:p>
          <w:p>
            <w:pPr>
              <w:widowControl w:val="0"/>
              <w:numPr>
                <w:ilvl w:val="0"/>
                <w:numId w:val="0"/>
              </w:numPr>
              <w:spacing w:line="360" w:lineRule="auto"/>
              <w:ind w:firstLine="480" w:firstLineChars="200"/>
              <w:jc w:val="left"/>
              <w:rPr>
                <w:rFonts w:hint="eastAsia" w:ascii="仿宋_GB2312" w:eastAsia="仿宋_GB2312" w:cs="Arial"/>
                <w:sz w:val="28"/>
              </w:rPr>
            </w:pPr>
            <w:r>
              <w:rPr>
                <w:rFonts w:hint="eastAsia" w:ascii="宋体" w:hAnsi="宋体" w:eastAsia="宋体" w:cs="宋体"/>
                <w:kern w:val="0"/>
                <w:sz w:val="24"/>
                <w:szCs w:val="28"/>
              </w:rPr>
              <w:t>采空区瓦斯抽放位置在停采线采空区内部，在抽放负压作用下，深部采空区瓦斯等值线向停采线钻孔移动，在停采线附近形成负压区，说明在抽放负压流量作用下自抽放口位置负压向采空区深部移动对采空区瓦斯的拦截作用越显著，保证了上部采空区向工作面涌出的瓦斯降低</w:t>
            </w:r>
            <w:r>
              <w:rPr>
                <w:rFonts w:hint="eastAsia" w:ascii="宋体" w:hAnsi="宋体" w:eastAsia="宋体" w:cs="宋体"/>
                <w:kern w:val="0"/>
                <w:sz w:val="24"/>
                <w:szCs w:val="28"/>
                <w:lang w:eastAsia="zh-CN"/>
              </w:rPr>
              <w:t>。</w:t>
            </w:r>
          </w:p>
        </w:tc>
      </w:tr>
    </w:tbl>
    <w:p>
      <w:pPr>
        <w:jc w:val="center"/>
        <w:rPr>
          <w:rFonts w:hint="eastAsia" w:ascii="仿宋_GB2312" w:eastAsia="仿宋_GB2312" w:cs="Arial"/>
          <w:sz w:val="28"/>
        </w:rPr>
      </w:pPr>
      <w:r>
        <w:rPr>
          <w:rFonts w:hint="eastAsia" w:ascii="仿宋_GB2312" w:eastAsia="仿宋_GB2312" w:cs="Arial"/>
          <w:sz w:val="28"/>
        </w:rPr>
        <w:t>三</w:t>
      </w:r>
      <w:r>
        <w:rPr>
          <w:rFonts w:ascii="仿宋_GB2312" w:eastAsia="仿宋_GB2312" w:cs="Arial"/>
          <w:sz w:val="28"/>
        </w:rPr>
        <w:t>、</w:t>
      </w:r>
      <w:r>
        <w:rPr>
          <w:rFonts w:hint="eastAsia" w:ascii="仿宋_GB2312" w:eastAsia="仿宋_GB2312" w:cs="Arial"/>
          <w:sz w:val="28"/>
        </w:rPr>
        <w:t>主要科技创新</w:t>
      </w:r>
    </w:p>
    <w:tbl>
      <w:tblPr>
        <w:tblStyle w:val="4"/>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default" w:ascii="宋体" w:hAnsi="宋体" w:eastAsia="宋体" w:cs="宋体"/>
                <w:b/>
                <w:bCs/>
                <w:sz w:val="24"/>
                <w:lang w:val="en-US" w:eastAsia="zh-CN"/>
              </w:rPr>
            </w:pPr>
            <w:r>
              <w:rPr>
                <w:rFonts w:hint="eastAsia" w:ascii="宋体" w:hAnsi="宋体" w:eastAsia="宋体" w:cs="宋体"/>
                <w:b/>
                <w:bCs/>
                <w:sz w:val="24"/>
                <w:lang w:val="en-US" w:eastAsia="zh-CN"/>
              </w:rPr>
              <w:t>（1）</w:t>
            </w:r>
            <w:r>
              <w:rPr>
                <w:rFonts w:hint="default" w:ascii="宋体" w:hAnsi="宋体" w:eastAsia="宋体" w:cs="宋体"/>
                <w:b/>
                <w:bCs/>
                <w:sz w:val="24"/>
                <w:lang w:val="en-US" w:eastAsia="zh-CN"/>
              </w:rPr>
              <w:t>采空区瓦斯赋存状态分析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sz w:val="24"/>
              </w:rPr>
            </w:pPr>
            <w:r>
              <w:rPr>
                <w:rFonts w:hint="default" w:ascii="宋体" w:hAnsi="宋体" w:eastAsia="宋体" w:cs="宋体"/>
                <w:sz w:val="24"/>
              </w:rPr>
              <w:t>14#煤层8723采煤工作面上部为11#、12#采空区，依邻近西邻14#8721工作面的实际瓦斯涌出量证明，工作面开采过程中上部采空区的瓦斯涌出量占整个工作面的瓦斯涌出量的65%，采空区的瓦斯的运移涌出给采煤工作面的安全生产带来严重的不安全隐患。</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default" w:ascii="宋体" w:hAnsi="宋体" w:eastAsia="宋体" w:cs="宋体"/>
                <w:sz w:val="24"/>
              </w:rPr>
            </w:pPr>
            <w:r>
              <w:rPr>
                <w:rFonts w:hint="default" w:ascii="宋体" w:hAnsi="宋体" w:eastAsia="宋体" w:cs="宋体"/>
                <w:b/>
                <w:bCs/>
                <w:sz w:val="24"/>
                <w:lang w:val="en-US" w:eastAsia="zh-CN"/>
              </w:rPr>
              <w:t>①</w:t>
            </w:r>
            <w:r>
              <w:rPr>
                <w:rFonts w:hint="eastAsia" w:ascii="宋体" w:hAnsi="宋体" w:eastAsia="宋体" w:cs="宋体"/>
                <w:b/>
                <w:bCs/>
                <w:sz w:val="24"/>
                <w:lang w:val="en-US" w:eastAsia="zh-CN"/>
              </w:rPr>
              <w:t xml:space="preserve"> </w:t>
            </w:r>
            <w:r>
              <w:rPr>
                <w:rFonts w:hint="default" w:ascii="宋体" w:hAnsi="宋体" w:eastAsia="宋体" w:cs="宋体"/>
                <w:b/>
                <w:bCs/>
                <w:sz w:val="24"/>
                <w:lang w:val="en-US" w:eastAsia="zh-CN"/>
              </w:rPr>
              <w:t>采空区瓦斯监测数据关联分析判断</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宋体" w:hAnsi="宋体" w:eastAsia="宋体" w:cs="宋体"/>
                <w:sz w:val="24"/>
              </w:rPr>
            </w:pPr>
            <w:r>
              <w:rPr>
                <w:rFonts w:hint="default" w:ascii="宋体" w:hAnsi="宋体" w:eastAsia="宋体" w:cs="宋体"/>
                <w:sz w:val="24"/>
              </w:rPr>
              <w:t>采空区瓦斯数据监测：</w:t>
            </w:r>
            <w:bookmarkStart w:id="0" w:name="_Hlk515957355"/>
            <w:r>
              <w:rPr>
                <w:rFonts w:hint="default" w:ascii="宋体" w:hAnsi="宋体" w:eastAsia="宋体" w:cs="宋体"/>
                <w:sz w:val="24"/>
              </w:rPr>
              <w:t>14#煤层8723采煤工作面</w:t>
            </w:r>
            <w:bookmarkEnd w:id="0"/>
            <w:r>
              <w:rPr>
                <w:rFonts w:hint="default" w:ascii="宋体" w:hAnsi="宋体" w:eastAsia="宋体" w:cs="宋体"/>
                <w:sz w:val="24"/>
              </w:rPr>
              <w:t xml:space="preserve"> 在开采走向长度320m有效范围内，在回风巷和运输巷向上分层采空区分别施工钻孔5个，钻孔编号为回风巷1#、2#、3#、4#、5#，运输巷10#、11#、12#、13#、14#，孔距60米，在停采线外侧590m范围内，回风巷和运输巷向上分层采空区分别施工钻孔4个</w:t>
            </w:r>
            <w:bookmarkStart w:id="1" w:name="_Hlk515869269"/>
            <w:r>
              <w:rPr>
                <w:rFonts w:hint="default" w:ascii="宋体" w:hAnsi="宋体" w:eastAsia="宋体" w:cs="宋体"/>
                <w:sz w:val="24"/>
              </w:rPr>
              <w:t>，钻孔编号为回风巷6#、7#、8#、9#，运输巷15#、16#、17#、18#，孔距120米做为采空区瓦斯监测数据的依据</w:t>
            </w:r>
            <w:bookmarkEnd w:id="1"/>
            <w:r>
              <w:rPr>
                <w:rFonts w:hint="eastAsia" w:ascii="宋体" w:hAnsi="宋体" w:cs="宋体"/>
                <w:sz w:val="24"/>
                <w:lang w:eastAsia="zh-CN"/>
              </w:rPr>
              <w:t>。</w:t>
            </w:r>
          </w:p>
          <w:p>
            <w:pPr>
              <w:keepNext w:val="0"/>
              <w:keepLines w:val="0"/>
              <w:pageBreakBefore w:val="0"/>
              <w:widowControl w:val="0"/>
              <w:numPr>
                <w:ilvl w:val="0"/>
                <w:numId w:val="0"/>
              </w:numPr>
              <w:kinsoku/>
              <w:wordWrap/>
              <w:overflowPunct/>
              <w:topLinePunct w:val="0"/>
              <w:autoSpaceDE/>
              <w:autoSpaceDN/>
              <w:bidi w:val="0"/>
              <w:spacing w:line="380" w:lineRule="exact"/>
              <w:ind w:firstLine="482" w:firstLineChars="200"/>
              <w:jc w:val="left"/>
              <w:textAlignment w:val="auto"/>
              <w:rPr>
                <w:rFonts w:hint="eastAsia"/>
                <w:b/>
                <w:bCs/>
                <w:sz w:val="24"/>
                <w:szCs w:val="24"/>
                <w:lang w:val="en-US" w:eastAsia="zh-CN"/>
              </w:rPr>
            </w:pPr>
            <w:r>
              <w:rPr>
                <w:rFonts w:hint="default" w:ascii="Calibri" w:hAnsi="Calibri" w:cs="Calibri"/>
                <w:b/>
                <w:bCs/>
                <w:sz w:val="24"/>
                <w:szCs w:val="24"/>
                <w:lang w:val="en-US" w:eastAsia="zh-CN"/>
              </w:rPr>
              <w:t>②</w:t>
            </w:r>
            <w:r>
              <w:rPr>
                <w:rFonts w:hint="eastAsia"/>
                <w:b/>
                <w:bCs/>
                <w:sz w:val="24"/>
                <w:szCs w:val="24"/>
                <w:lang w:val="en-US" w:eastAsia="zh-CN"/>
              </w:rPr>
              <w:t xml:space="preserve"> </w:t>
            </w:r>
            <w:r>
              <w:rPr>
                <w:rFonts w:hint="default"/>
                <w:b/>
                <w:bCs/>
                <w:sz w:val="24"/>
                <w:szCs w:val="24"/>
                <w:lang w:val="en-US" w:eastAsia="zh-CN"/>
              </w:rPr>
              <w:t>采空区瓦斯赋存状态</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应用计算机随机模拟绘制</w:t>
            </w:r>
            <w:bookmarkStart w:id="2" w:name="_Hlk519951432"/>
            <w:r>
              <w:rPr>
                <w:rFonts w:hint="eastAsia" w:ascii="宋体" w:hAnsi="宋体" w:eastAsia="宋体" w:cs="宋体"/>
                <w:sz w:val="24"/>
                <w:szCs w:val="28"/>
              </w:rPr>
              <w:t>14#煤层8723采煤工作面上部采空区瓦斯赋存状态分</w:t>
            </w:r>
            <w:bookmarkEnd w:id="2"/>
            <w:r>
              <w:rPr>
                <w:rFonts w:hint="eastAsia" w:ascii="宋体" w:hAnsi="宋体" w:eastAsia="宋体" w:cs="宋体"/>
                <w:sz w:val="24"/>
                <w:szCs w:val="28"/>
              </w:rPr>
              <w:t>。由设计开采线开始0-300m段内的瓦斯平均浓度6.75</w:t>
            </w:r>
            <w:bookmarkStart w:id="3" w:name="_Hlk517341904"/>
            <w:r>
              <w:rPr>
                <w:rFonts w:hint="eastAsia" w:ascii="宋体" w:hAnsi="宋体" w:eastAsia="宋体" w:cs="宋体"/>
                <w:sz w:val="24"/>
                <w:szCs w:val="28"/>
              </w:rPr>
              <w:t>％</w:t>
            </w:r>
            <w:bookmarkEnd w:id="3"/>
            <w:r>
              <w:rPr>
                <w:rFonts w:hint="eastAsia" w:ascii="宋体" w:hAnsi="宋体" w:eastAsia="宋体" w:cs="宋体"/>
                <w:sz w:val="24"/>
                <w:szCs w:val="28"/>
              </w:rPr>
              <w:t>，</w:t>
            </w:r>
            <w:bookmarkStart w:id="4" w:name="_Hlk517342738"/>
            <w:r>
              <w:rPr>
                <w:rFonts w:hint="eastAsia" w:ascii="宋体" w:hAnsi="宋体" w:eastAsia="宋体" w:cs="宋体"/>
                <w:sz w:val="24"/>
                <w:szCs w:val="28"/>
              </w:rPr>
              <w:t>最高浓度7.6％</w:t>
            </w:r>
            <w:bookmarkEnd w:id="4"/>
            <w:r>
              <w:rPr>
                <w:rFonts w:hint="eastAsia" w:ascii="宋体" w:hAnsi="宋体" w:eastAsia="宋体" w:cs="宋体"/>
                <w:sz w:val="24"/>
                <w:szCs w:val="28"/>
              </w:rPr>
              <w:t>；300-590m段内瓦斯平均浓度6.3％最高浓度7.4％。因此，该工作面在开采初期过程中应当采取有效瓦斯治理方法，加强瓦斯管理，保证瓦斯不超限。</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default" w:ascii="宋体" w:hAnsi="宋体" w:eastAsia="宋体" w:cs="宋体"/>
                <w:b/>
                <w:bCs/>
                <w:sz w:val="24"/>
                <w:lang w:val="en-US" w:eastAsia="zh-CN"/>
              </w:rPr>
            </w:pPr>
            <w:bookmarkStart w:id="5" w:name="_Hlk517357569"/>
            <w:r>
              <w:rPr>
                <w:rFonts w:hint="eastAsia" w:ascii="宋体" w:hAnsi="宋体" w:eastAsia="宋体" w:cs="宋体"/>
                <w:b/>
                <w:bCs/>
                <w:sz w:val="24"/>
                <w:lang w:val="en-US" w:eastAsia="zh-CN"/>
              </w:rPr>
              <w:t>（2）</w:t>
            </w:r>
            <w:r>
              <w:rPr>
                <w:rFonts w:hint="default" w:ascii="宋体" w:hAnsi="宋体" w:eastAsia="宋体" w:cs="宋体"/>
                <w:b/>
                <w:bCs/>
                <w:sz w:val="24"/>
                <w:lang w:val="en-US" w:eastAsia="zh-CN"/>
              </w:rPr>
              <w:t>采空区瓦斯及风流（风压）状态</w:t>
            </w:r>
            <w:bookmarkEnd w:id="5"/>
            <w:r>
              <w:rPr>
                <w:rFonts w:hint="default" w:ascii="宋体" w:hAnsi="宋体" w:eastAsia="宋体" w:cs="宋体"/>
                <w:b/>
                <w:bCs/>
                <w:sz w:val="24"/>
                <w:lang w:val="en-US" w:eastAsia="zh-CN"/>
              </w:rPr>
              <w:t>的控制</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8"/>
              </w:rPr>
              <w:t>升压后数值模拟过程中采空区的风压风分布有所改变类似稳态分布，其不与时间构成显著的相关关系，漏风速度发生较大变化，其主要原因由于工作面的压力提高与上部采空区内部风压等综合作用的结果，致使上部采空区的孔隙率、渗透率等物理参数重新分布，其风压等也重新分布，由于风压的重新分布导致漏风的重新分布与变化。这种变化有利于防止上部采空区的瓦斯向工作面运移。</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（3）瓦斯抽放对采空区的影响</w:t>
            </w:r>
          </w:p>
          <w:p>
            <w:pPr>
              <w:keepNext w:val="0"/>
              <w:keepLines w:val="0"/>
              <w:pageBreakBefore w:val="0"/>
              <w:widowControl w:val="0"/>
              <w:numPr>
                <w:ilvl w:val="0"/>
                <w:numId w:val="0"/>
              </w:numPr>
              <w:kinsoku/>
              <w:wordWrap/>
              <w:overflowPunct/>
              <w:topLinePunct w:val="0"/>
              <w:autoSpaceDE/>
              <w:autoSpaceDN/>
              <w:bidi w:val="0"/>
              <w:spacing w:line="380" w:lineRule="exact"/>
              <w:jc w:val="left"/>
              <w:textAlignment w:val="auto"/>
              <w:rPr>
                <w:rFonts w:hint="eastAsia" w:asciiTheme="minorEastAsia" w:hAnsiTheme="minorEastAsia" w:eastAsiaTheme="minorEastAsia" w:cstheme="minorEastAsia"/>
                <w:kern w:val="0"/>
                <w:sz w:val="24"/>
                <w:szCs w:val="28"/>
                <w:lang w:eastAsia="zh-CN"/>
              </w:rPr>
            </w:pPr>
            <w:r>
              <w:rPr>
                <w:rFonts w:hint="eastAsia" w:asciiTheme="minorEastAsia" w:hAnsiTheme="minorEastAsia" w:eastAsiaTheme="minorEastAsia" w:cstheme="minorEastAsia"/>
                <w:kern w:val="0"/>
                <w:sz w:val="24"/>
                <w:szCs w:val="28"/>
              </w:rPr>
              <w:t>在抽放负压流量作用下自抽放口位置负压向采空区深部移动对采空区瓦斯的拦截作用越显著，这样保证了上部采空区向工作面涌出的瓦斯降低，虽然采空区瓦斯抽放会导致漏风增加，但是抽放能有效降低采空区气体的积聚</w:t>
            </w:r>
            <w:r>
              <w:rPr>
                <w:rFonts w:hint="eastAsia" w:asciiTheme="minorEastAsia" w:hAnsiTheme="minorEastAsia" w:eastAsiaTheme="minorEastAsia" w:cstheme="minorEastAsia"/>
                <w:kern w:val="0"/>
                <w:sz w:val="24"/>
                <w:szCs w:val="28"/>
                <w:lang w:eastAsia="zh-CN"/>
              </w:rPr>
              <w:t>。</w:t>
            </w:r>
          </w:p>
          <w:p>
            <w:pPr>
              <w:keepNext w:val="0"/>
              <w:keepLines w:val="0"/>
              <w:pageBreakBefore w:val="0"/>
              <w:widowControl w:val="0"/>
              <w:numPr>
                <w:ilvl w:val="0"/>
                <w:numId w:val="0"/>
              </w:numPr>
              <w:kinsoku/>
              <w:wordWrap/>
              <w:overflowPunct/>
              <w:topLinePunct w:val="0"/>
              <w:autoSpaceDE/>
              <w:autoSpaceDN/>
              <w:bidi w:val="0"/>
              <w:spacing w:line="380" w:lineRule="exact"/>
              <w:ind w:firstLine="442" w:firstLineChars="200"/>
              <w:jc w:val="left"/>
              <w:textAlignment w:val="auto"/>
              <w:rPr>
                <w:rFonts w:hint="eastAsia" w:asciiTheme="minorEastAsia" w:hAnsiTheme="minorEastAsia" w:eastAsiaTheme="minorEastAsia" w:cstheme="minorEastAsia"/>
                <w:kern w:val="0"/>
                <w:sz w:val="24"/>
                <w:szCs w:val="28"/>
              </w:rPr>
            </w:pPr>
            <w:r>
              <w:rPr>
                <w:rFonts w:hint="eastAsia" w:ascii="宋体" w:hAnsi="宋体" w:eastAsia="宋体" w:cs="宋体"/>
                <w:b/>
                <w:bCs/>
                <w:sz w:val="22"/>
                <w:szCs w:val="22"/>
                <w:lang w:val="en-US" w:eastAsia="zh-CN"/>
              </w:rPr>
              <w:t>（</w:t>
            </w:r>
            <w:r>
              <w:rPr>
                <w:rFonts w:hint="eastAsia" w:ascii="宋体" w:hAnsi="宋体" w:eastAsia="宋体" w:cs="宋体"/>
                <w:b/>
                <w:bCs/>
                <w:sz w:val="24"/>
                <w:lang w:val="en-US" w:eastAsia="zh-CN"/>
              </w:rPr>
              <w:t>4）采煤工作面升压，上部采空区抽放瓦斯效果分析</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eastAsia="宋体" w:cs="Times New Roman"/>
                <w:b/>
                <w:bCs/>
                <w:sz w:val="21"/>
                <w:szCs w:val="21"/>
                <w:highlight w:val="none"/>
                <w:lang w:eastAsia="zh-CN"/>
              </w:rPr>
            </w:pPr>
            <w:r>
              <w:rPr>
                <w:rFonts w:hint="eastAsia" w:ascii="宋体" w:hAnsi="宋体" w:eastAsia="宋体" w:cs="宋体"/>
                <w:sz w:val="24"/>
                <w:szCs w:val="24"/>
              </w:rPr>
              <w:t>不考虑风量变化条件下，工作面本煤层涌出瓦斯约占0.08%/0.23%=35%,即该工作面涌出瓦斯中本煤层所占比例为35%，上部采空区涌出量约占65%。</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现场实际监测的采空区及采煤工作面绝对瓦斯涌出量先增加后降低并趋于稳定，数值结果与之具有相同的变化趋势，结果表明从工作面回风瓦斯平均浓度而言数值较</w:t>
            </w:r>
            <w:bookmarkStart w:id="6" w:name="_Hlk521747883"/>
            <w:r>
              <w:rPr>
                <w:rFonts w:hint="eastAsia" w:ascii="宋体" w:hAnsi="宋体" w:eastAsia="宋体" w:cs="宋体"/>
                <w:sz w:val="24"/>
                <w:szCs w:val="24"/>
              </w:rPr>
              <w:t>可靠。</w:t>
            </w:r>
            <w:bookmarkEnd w:id="6"/>
          </w:p>
          <w:p>
            <w:pPr>
              <w:rPr>
                <w:rFonts w:cs="Arial"/>
                <w:sz w:val="28"/>
              </w:rPr>
            </w:pPr>
          </w:p>
        </w:tc>
      </w:tr>
    </w:tbl>
    <w:p>
      <w:pPr>
        <w:jc w:val="center"/>
        <w:rPr>
          <w:rFonts w:hint="eastAsia" w:ascii="仿宋_GB2312" w:eastAsia="仿宋_GB2312" w:cs="Arial"/>
          <w:sz w:val="28"/>
        </w:rPr>
      </w:pPr>
      <w:r>
        <w:rPr>
          <w:rFonts w:hint="eastAsia" w:ascii="仿宋_GB2312" w:eastAsia="仿宋_GB2312" w:cs="Arial"/>
          <w:sz w:val="28"/>
        </w:rPr>
        <w:t>四</w:t>
      </w:r>
      <w:r>
        <w:rPr>
          <w:rFonts w:ascii="仿宋_GB2312" w:eastAsia="仿宋_GB2312" w:cs="Arial"/>
          <w:sz w:val="28"/>
        </w:rPr>
        <w:t>、</w:t>
      </w:r>
      <w:r>
        <w:rPr>
          <w:rFonts w:hint="eastAsia" w:ascii="仿宋_GB2312" w:eastAsia="仿宋_GB2312" w:cs="Arial"/>
          <w:sz w:val="28"/>
        </w:rPr>
        <w:t>项目详细内容</w:t>
      </w:r>
    </w:p>
    <w:tbl>
      <w:tblPr>
        <w:tblStyle w:val="4"/>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宋体" w:hAnsi="宋体" w:eastAsia="宋体" w:cs="宋体"/>
                <w:b/>
                <w:bCs/>
                <w:sz w:val="24"/>
                <w:lang w:val="en-US" w:eastAsia="zh-CN"/>
              </w:rPr>
            </w:pPr>
            <w:r>
              <w:rPr>
                <w:rFonts w:hint="eastAsia" w:ascii="宋体" w:hAnsi="宋体" w:cs="宋体"/>
                <w:b/>
                <w:bCs/>
                <w:sz w:val="24"/>
                <w:lang w:val="en-US" w:eastAsia="zh-CN"/>
              </w:rPr>
              <w:t>1、</w:t>
            </w:r>
            <w:r>
              <w:rPr>
                <w:rFonts w:hint="eastAsia" w:ascii="宋体" w:hAnsi="宋体" w:eastAsia="宋体" w:cs="宋体"/>
                <w:b/>
                <w:bCs/>
                <w:sz w:val="24"/>
                <w:lang w:val="en-US" w:eastAsia="zh-CN"/>
              </w:rPr>
              <w:t>立项原因</w:t>
            </w:r>
          </w:p>
          <w:p>
            <w:pPr>
              <w:keepNext w:val="0"/>
              <w:keepLines w:val="0"/>
              <w:pageBreakBefore w:val="0"/>
              <w:widowControl/>
              <w:kinsoku/>
              <w:overflowPunct/>
              <w:topLinePunct w:val="0"/>
              <w:autoSpaceDE/>
              <w:autoSpaceDN/>
              <w:bidi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307盘区14#煤层8723工作面区域与其他通风区域并联通风，但是工作面采空区却处于十分特殊的地位。一方面，采空区于外界的空气交换需要加以仔细控制，由此减小采空区的瓦斯向工作面区域运移，另一方面，工作面需要足够的风量以保证有效的排除该区域的瓦斯并保证良好的环境条件，因此所提供的较大风量和负压形成了工作面风流向采空区流动以及采空区的风流向工作面流动的有利条件，而且采空区范围的钻孔、采空区围岩裂隙与相邻井巷及煤层顶板垮落后可形成联通地表的裂隙，致使地表与工作面之间漏风严重。当工作面采空区与地面有显著的漏风联系时，工作面与地面之间的风压差是使地表空气沿裂隙进入采空区的推动力。</w:t>
            </w:r>
          </w:p>
          <w:p>
            <w:pPr>
              <w:widowControl w:val="0"/>
              <w:numPr>
                <w:ilvl w:val="0"/>
                <w:numId w:val="1"/>
              </w:numPr>
              <w:spacing w:line="360" w:lineRule="auto"/>
              <w:ind w:firstLine="482" w:firstLineChars="200"/>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研究内容</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default" w:ascii="宋体" w:hAnsi="宋体" w:eastAsia="宋体" w:cs="宋体"/>
                <w:b/>
                <w:bCs/>
                <w:sz w:val="24"/>
                <w:lang w:val="en-US" w:eastAsia="zh-CN"/>
              </w:rPr>
            </w:pPr>
            <w:r>
              <w:rPr>
                <w:rFonts w:hint="eastAsia" w:ascii="宋体" w:hAnsi="宋体" w:eastAsia="宋体" w:cs="宋体"/>
                <w:b/>
                <w:bCs/>
                <w:sz w:val="24"/>
                <w:lang w:val="en-US" w:eastAsia="zh-CN"/>
              </w:rPr>
              <w:t>（1）</w:t>
            </w:r>
            <w:r>
              <w:rPr>
                <w:rFonts w:hint="default" w:ascii="宋体" w:hAnsi="宋体" w:eastAsia="宋体" w:cs="宋体"/>
                <w:b/>
                <w:bCs/>
                <w:sz w:val="24"/>
                <w:lang w:val="en-US" w:eastAsia="zh-CN"/>
              </w:rPr>
              <w:t>采空区瓦斯赋存状态分析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sz w:val="24"/>
              </w:rPr>
            </w:pPr>
            <w:r>
              <w:rPr>
                <w:rFonts w:hint="default" w:ascii="宋体" w:hAnsi="宋体" w:eastAsia="宋体" w:cs="宋体"/>
                <w:sz w:val="24"/>
              </w:rPr>
              <w:t>14#煤层8723采煤工作面上部为11#、12#采空区，依邻近西邻14#8721工作面的实际瓦斯涌出量证明，工作面开采过程中上部采空区的瓦斯涌出量占整个工作面的瓦斯涌出量的65%，采空区的瓦斯的运移涌出给采煤工作面的安全生产带来严重的不安全隐患。</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default" w:ascii="宋体" w:hAnsi="宋体" w:eastAsia="宋体" w:cs="宋体"/>
                <w:sz w:val="24"/>
              </w:rPr>
            </w:pPr>
            <w:r>
              <w:rPr>
                <w:rFonts w:hint="default" w:ascii="宋体" w:hAnsi="宋体" w:eastAsia="宋体" w:cs="宋体"/>
                <w:b/>
                <w:bCs/>
                <w:sz w:val="24"/>
                <w:lang w:val="en-US" w:eastAsia="zh-CN"/>
              </w:rPr>
              <w:t>①</w:t>
            </w:r>
            <w:r>
              <w:rPr>
                <w:rFonts w:hint="eastAsia" w:ascii="宋体" w:hAnsi="宋体" w:eastAsia="宋体" w:cs="宋体"/>
                <w:b/>
                <w:bCs/>
                <w:sz w:val="24"/>
                <w:lang w:val="en-US" w:eastAsia="zh-CN"/>
              </w:rPr>
              <w:t xml:space="preserve"> </w:t>
            </w:r>
            <w:r>
              <w:rPr>
                <w:rFonts w:hint="default" w:ascii="宋体" w:hAnsi="宋体" w:eastAsia="宋体" w:cs="宋体"/>
                <w:b/>
                <w:bCs/>
                <w:sz w:val="24"/>
                <w:lang w:val="en-US" w:eastAsia="zh-CN"/>
              </w:rPr>
              <w:t>采空区瓦斯监测数据关联分析判断</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default" w:ascii="宋体" w:hAnsi="宋体" w:eastAsia="宋体" w:cs="宋体"/>
                <w:sz w:val="24"/>
              </w:rPr>
            </w:pPr>
            <w:r>
              <w:rPr>
                <w:rFonts w:hint="default" w:ascii="宋体" w:hAnsi="宋体" w:eastAsia="宋体" w:cs="宋体"/>
                <w:sz w:val="24"/>
              </w:rPr>
              <w:t>采空区瓦斯数据监测：14#煤层8723采煤工作面于2017年7月31日构成，（2018.3.29开采）如图所示，通风区于9月28日根据工作面的开采参数, 在开采走向长度320m有效范围内，在回风巷和运输巷向上分层采空区分别施工钻孔5个，钻孔编号为回风巷1#、2#、3#、4#、5#，运输巷10#、11#、12#、13#、14#，孔距60米，在停采线外侧590m范围内，回风巷和运输巷向上分层采空区分别施工钻孔4个，钻孔编号为回风巷6#、7#、8#、9#，运输巷15#、16#、17#、18#，孔距120米做为采空区瓦斯监测数据的依据</w:t>
            </w:r>
            <w:r>
              <w:rPr>
                <w:rFonts w:hint="eastAsia" w:ascii="宋体" w:hAnsi="宋体" w:eastAsia="宋体" w:cs="宋体"/>
                <w:sz w:val="24"/>
                <w:lang w:eastAsia="zh-CN"/>
              </w:rPr>
              <w:t>，监测数据如表</w:t>
            </w:r>
            <w:r>
              <w:rPr>
                <w:rFonts w:hint="eastAsia" w:ascii="宋体" w:hAnsi="宋体" w:eastAsia="宋体" w:cs="宋体"/>
                <w:sz w:val="24"/>
                <w:lang w:val="en-US" w:eastAsia="zh-CN"/>
              </w:rPr>
              <w:t>1所示</w:t>
            </w:r>
            <w:r>
              <w:rPr>
                <w:rFonts w:hint="default"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default" w:ascii="宋体" w:hAnsi="宋体" w:eastAsia="宋体" w:cs="宋体"/>
                <w:sz w:val="24"/>
              </w:rPr>
            </w:pPr>
            <w:r>
              <w:rPr>
                <w:rFonts w:hint="default" w:ascii="宋体" w:hAnsi="宋体" w:eastAsia="宋体" w:cs="宋体"/>
                <w:sz w:val="24"/>
              </w:rPr>
              <w:t>14#煤层8723采煤工作面钻孔上分层采空区瓦斯数据依2018年2月1日至2018年2月15日，工作面风量1502 m3/min的情况下进行分析与判断。（瓦斯监测数据量较大，依开采前近期为准）</w:t>
            </w:r>
          </w:p>
          <w:p>
            <w:pPr>
              <w:rPr>
                <w:rFonts w:hint="eastAsia" w:ascii="宋体" w:hAnsi="宋体" w:eastAsia="宋体" w:cs="宋体"/>
                <w:sz w:val="24"/>
              </w:rPr>
            </w:pPr>
          </w:p>
          <w:p>
            <w:pPr>
              <w:numPr>
                <w:ilvl w:val="0"/>
                <w:numId w:val="0"/>
              </w:numPr>
              <w:ind w:firstLine="482" w:firstLineChars="200"/>
              <w:jc w:val="left"/>
              <w:rPr>
                <w:rFonts w:hint="eastAsia"/>
                <w:b/>
                <w:bCs/>
                <w:sz w:val="24"/>
                <w:szCs w:val="24"/>
                <w:lang w:val="en-US" w:eastAsia="zh-CN"/>
              </w:rPr>
            </w:pPr>
            <w:r>
              <w:rPr>
                <w:rFonts w:hint="default" w:ascii="Calibri" w:hAnsi="Calibri" w:cs="Calibri"/>
                <w:b/>
                <w:bCs/>
                <w:sz w:val="24"/>
                <w:szCs w:val="24"/>
                <w:lang w:val="en-US" w:eastAsia="zh-CN"/>
              </w:rPr>
              <w:t>②</w:t>
            </w:r>
            <w:r>
              <w:rPr>
                <w:rFonts w:hint="eastAsia"/>
                <w:b/>
                <w:bCs/>
                <w:sz w:val="24"/>
                <w:szCs w:val="24"/>
                <w:lang w:val="en-US" w:eastAsia="zh-CN"/>
              </w:rPr>
              <w:t xml:space="preserve"> </w:t>
            </w:r>
            <w:r>
              <w:rPr>
                <w:rFonts w:hint="default"/>
                <w:b/>
                <w:bCs/>
                <w:sz w:val="24"/>
                <w:szCs w:val="24"/>
                <w:lang w:val="en-US" w:eastAsia="zh-CN"/>
              </w:rPr>
              <w:t>采空区瓦斯赋存状态</w:t>
            </w:r>
          </w:p>
          <w:p>
            <w:pPr>
              <w:spacing w:line="360" w:lineRule="auto"/>
              <w:jc w:val="center"/>
              <w:rPr>
                <w:rFonts w:hint="default" w:ascii="Times New Roman" w:hAnsi="Times New Roman" w:eastAsia="宋体" w:cs="Times New Roman"/>
                <w:sz w:val="28"/>
                <w:szCs w:val="28"/>
              </w:rPr>
            </w:pPr>
            <w:r>
              <w:rPr>
                <w:rFonts w:hint="default" w:ascii="Times New Roman" w:hAnsi="Times New Roman" w:cs="Times New Roman"/>
              </w:rPr>
              <w:drawing>
                <wp:inline distT="0" distB="0" distL="114300" distR="114300">
                  <wp:extent cx="4995545" cy="1335405"/>
                  <wp:effectExtent l="0" t="0" r="1460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rcRect l="972" t="23653" r="10075" b="27762"/>
                          <a:stretch>
                            <a:fillRect/>
                          </a:stretch>
                        </pic:blipFill>
                        <pic:spPr>
                          <a:xfrm>
                            <a:off x="0" y="0"/>
                            <a:ext cx="4995545" cy="1335405"/>
                          </a:xfrm>
                          <a:prstGeom prst="rect">
                            <a:avLst/>
                          </a:prstGeom>
                          <a:noFill/>
                          <a:ln>
                            <a:noFill/>
                          </a:ln>
                        </pic:spPr>
                      </pic:pic>
                    </a:graphicData>
                  </a:graphic>
                </wp:inline>
              </w:drawing>
            </w:r>
          </w:p>
          <w:p>
            <w:pPr>
              <w:spacing w:line="360" w:lineRule="auto"/>
              <w:jc w:val="center"/>
              <w:rPr>
                <w:rFonts w:hint="eastAsia"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图1 上覆采空区瓦斯分布图</w:t>
            </w:r>
          </w:p>
          <w:p>
            <w:pPr>
              <w:adjustRightInd w:val="0"/>
              <w:snapToGrid w:val="0"/>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根据表</w:t>
            </w:r>
            <w:r>
              <w:rPr>
                <w:rFonts w:hint="eastAsia" w:ascii="宋体" w:hAnsi="宋体" w:eastAsia="宋体" w:cs="宋体"/>
                <w:sz w:val="24"/>
                <w:szCs w:val="28"/>
                <w:lang w:val="en-US" w:eastAsia="zh-CN"/>
              </w:rPr>
              <w:t>1</w:t>
            </w:r>
            <w:r>
              <w:rPr>
                <w:rFonts w:hint="eastAsia" w:ascii="宋体" w:hAnsi="宋体" w:eastAsia="宋体" w:cs="宋体"/>
                <w:sz w:val="24"/>
                <w:szCs w:val="28"/>
              </w:rPr>
              <w:t>中的瓦斯浓度及其对应位置，应用计算机随机模拟绘制14#煤层8723采煤工作面上部采空区瓦斯赋存状态分布图</w:t>
            </w:r>
            <w:r>
              <w:rPr>
                <w:rFonts w:hint="eastAsia" w:ascii="宋体" w:hAnsi="宋体" w:eastAsia="宋体" w:cs="宋体"/>
                <w:sz w:val="24"/>
                <w:szCs w:val="28"/>
                <w:lang w:eastAsia="zh-CN"/>
              </w:rPr>
              <w:t>如图</w:t>
            </w:r>
            <w:r>
              <w:rPr>
                <w:rFonts w:hint="eastAsia" w:ascii="宋体" w:hAnsi="宋体" w:eastAsia="宋体" w:cs="宋体"/>
                <w:sz w:val="24"/>
                <w:szCs w:val="28"/>
                <w:lang w:val="en-US" w:eastAsia="zh-CN"/>
              </w:rPr>
              <w:t>1所示</w:t>
            </w:r>
            <w:r>
              <w:rPr>
                <w:rFonts w:hint="eastAsia" w:ascii="宋体" w:hAnsi="宋体" w:eastAsia="宋体" w:cs="宋体"/>
                <w:sz w:val="24"/>
                <w:szCs w:val="28"/>
              </w:rPr>
              <w:t>。由设计开采线开始0-300m段内的瓦斯平均浓度6.75％，最高浓度7.6％；300-590m段内瓦斯平均浓度6.3％最高浓度7.4％。综合分析，14#煤层8723采煤工作面上部采空区瓦斯沿走向分布，不因走向距离不同，存在很大差异，这与该工作面上部采空区孔隙及漏风量有关，也与上分层的开采历史有关。因此，该工作面在开采初期过程中应当采取有效瓦斯治理方法，加强瓦斯管理，保证瓦斯不超限。</w:t>
            </w:r>
          </w:p>
          <w:p>
            <w:pPr>
              <w:numPr>
                <w:ilvl w:val="0"/>
                <w:numId w:val="0"/>
              </w:numPr>
              <w:ind w:firstLine="482" w:firstLineChars="200"/>
              <w:jc w:val="left"/>
              <w:rPr>
                <w:rFonts w:hint="default"/>
                <w:b/>
                <w:bCs/>
                <w:sz w:val="24"/>
                <w:szCs w:val="24"/>
                <w:lang w:val="en-US" w:eastAsia="zh-CN"/>
              </w:rPr>
            </w:pPr>
            <w:r>
              <w:rPr>
                <w:rFonts w:hint="eastAsia"/>
                <w:b/>
                <w:bCs/>
                <w:sz w:val="24"/>
                <w:szCs w:val="24"/>
                <w:lang w:val="en-US" w:eastAsia="zh-CN"/>
              </w:rPr>
              <w:t>（2）</w:t>
            </w:r>
            <w:r>
              <w:rPr>
                <w:rFonts w:hint="default"/>
                <w:b/>
                <w:bCs/>
                <w:sz w:val="24"/>
                <w:szCs w:val="24"/>
                <w:lang w:val="en-US" w:eastAsia="zh-CN"/>
              </w:rPr>
              <w:t>采空区瓦斯及风流（风压）状态的控制</w:t>
            </w:r>
          </w:p>
          <w:p>
            <w:pPr>
              <w:spacing w:line="360" w:lineRule="auto"/>
              <w:jc w:val="center"/>
              <w:rPr>
                <w:rFonts w:hint="default" w:ascii="Times New Roman" w:hAnsi="Times New Roman" w:cs="Times New Roman"/>
              </w:rPr>
            </w:pPr>
            <w:r>
              <w:rPr>
                <w:rFonts w:hint="default" w:ascii="Times New Roman" w:hAnsi="Times New Roman" w:cs="Times New Roman"/>
              </w:rPr>
              <w:drawing>
                <wp:inline distT="0" distB="0" distL="114300" distR="114300">
                  <wp:extent cx="5058410" cy="1774190"/>
                  <wp:effectExtent l="0" t="0" r="889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rcRect t="10503"/>
                          <a:stretch>
                            <a:fillRect/>
                          </a:stretch>
                        </pic:blipFill>
                        <pic:spPr>
                          <a:xfrm>
                            <a:off x="0" y="0"/>
                            <a:ext cx="5058410" cy="1774190"/>
                          </a:xfrm>
                          <a:prstGeom prst="rect">
                            <a:avLst/>
                          </a:prstGeom>
                          <a:noFill/>
                          <a:ln>
                            <a:noFill/>
                          </a:ln>
                        </pic:spPr>
                      </pic:pic>
                    </a:graphicData>
                  </a:graphic>
                </wp:inline>
              </w:drawing>
            </w:r>
          </w:p>
          <w:p>
            <w:pPr>
              <w:spacing w:line="360" w:lineRule="auto"/>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eastAsia="zh-CN"/>
              </w:rPr>
              <w:t>图</w:t>
            </w:r>
            <w:r>
              <w:rPr>
                <w:rFonts w:hint="eastAsia" w:cs="Times New Roman"/>
                <w:b/>
                <w:bCs/>
                <w:sz w:val="21"/>
                <w:szCs w:val="21"/>
                <w:highlight w:val="none"/>
                <w:lang w:val="en-US" w:eastAsia="zh-CN"/>
              </w:rPr>
              <w:t>2</w:t>
            </w:r>
            <w:r>
              <w:rPr>
                <w:rFonts w:hint="default" w:ascii="Times New Roman" w:hAnsi="Times New Roman" w:eastAsia="宋体" w:cs="Times New Roman"/>
                <w:b/>
                <w:bCs/>
                <w:sz w:val="21"/>
                <w:szCs w:val="21"/>
                <w:highlight w:val="none"/>
                <w:lang w:val="en-US" w:eastAsia="zh-CN"/>
              </w:rPr>
              <w:t>调压后采空区压力分布状态</w:t>
            </w:r>
          </w:p>
          <w:p>
            <w:p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sz w:val="24"/>
                <w:szCs w:val="28"/>
              </w:rPr>
              <w:t>如图</w:t>
            </w:r>
            <w:r>
              <w:rPr>
                <w:rFonts w:hint="eastAsia" w:ascii="宋体" w:hAnsi="宋体" w:cs="宋体"/>
                <w:sz w:val="24"/>
                <w:szCs w:val="28"/>
                <w:lang w:val="en-US" w:eastAsia="zh-CN"/>
              </w:rPr>
              <w:t>2</w:t>
            </w:r>
            <w:r>
              <w:rPr>
                <w:rFonts w:hint="eastAsia" w:ascii="宋体" w:hAnsi="宋体" w:eastAsia="宋体" w:cs="宋体"/>
                <w:sz w:val="24"/>
                <w:szCs w:val="28"/>
              </w:rPr>
              <w:t>所示，升压后数值模拟过程中采空区的风压风分布有所改变类似稳态分布，其不与时间构成显著的相关关系，漏风速度发生较大变化，其主要原因由于工作面的压力提高与上部采空区内部风压等综合作用的结果，致使上部采空区的孔隙率、渗透率等物理参数重新分布，其风压等也重新分布，由于风压的重新分布导致漏风的重新分布与变化。这种变化有利于防止上部采空区的瓦斯向工作面运移。</w:t>
            </w:r>
          </w:p>
          <w:p>
            <w:pPr>
              <w:numPr>
                <w:ilvl w:val="0"/>
                <w:numId w:val="0"/>
              </w:numPr>
              <w:ind w:firstLine="482" w:firstLineChars="200"/>
              <w:jc w:val="left"/>
              <w:rPr>
                <w:rFonts w:hint="eastAsia"/>
                <w:b/>
                <w:bCs/>
                <w:sz w:val="24"/>
                <w:szCs w:val="24"/>
                <w:lang w:val="en-US" w:eastAsia="zh-CN"/>
              </w:rPr>
            </w:pPr>
            <w:r>
              <w:rPr>
                <w:rFonts w:hint="eastAsia"/>
                <w:b/>
                <w:bCs/>
                <w:sz w:val="24"/>
                <w:szCs w:val="24"/>
                <w:lang w:val="en-US" w:eastAsia="zh-CN"/>
              </w:rPr>
              <w:t>（3）瓦斯抽放对采空区的影响</w:t>
            </w:r>
          </w:p>
          <w:p>
            <w:pPr>
              <w:numPr>
                <w:ilvl w:val="0"/>
                <w:numId w:val="0"/>
              </w:numPr>
              <w:spacing w:line="360" w:lineRule="auto"/>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drawing>
                <wp:inline distT="0" distB="0" distL="0" distR="0">
                  <wp:extent cx="4607560" cy="14808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07560" cy="1480820"/>
                          </a:xfrm>
                          <a:prstGeom prst="rect">
                            <a:avLst/>
                          </a:prstGeom>
                          <a:noFill/>
                          <a:ln>
                            <a:noFill/>
                          </a:ln>
                        </pic:spPr>
                      </pic:pic>
                    </a:graphicData>
                  </a:graphic>
                </wp:inline>
              </w:drawing>
            </w:r>
          </w:p>
          <w:p>
            <w:pPr>
              <w:widowControl/>
              <w:tabs>
                <w:tab w:val="left" w:pos="377"/>
              </w:tabs>
              <w:adjustRightInd w:val="0"/>
              <w:snapToGrid w:val="0"/>
              <w:spacing w:line="360" w:lineRule="auto"/>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eastAsia="zh-CN"/>
              </w:rPr>
              <w:t>图</w:t>
            </w:r>
            <w:r>
              <w:rPr>
                <w:rFonts w:hint="eastAsia" w:cs="Times New Roman"/>
                <w:b/>
                <w:bCs/>
                <w:sz w:val="21"/>
                <w:szCs w:val="21"/>
                <w:highlight w:val="none"/>
                <w:lang w:val="en-US" w:eastAsia="zh-CN"/>
              </w:rPr>
              <w:t>3</w:t>
            </w:r>
            <w:r>
              <w:rPr>
                <w:rFonts w:hint="eastAsia"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b/>
                <w:bCs w:val="0"/>
                <w:kern w:val="2"/>
                <w:sz w:val="21"/>
                <w:szCs w:val="21"/>
                <w:lang w:val="en-US" w:eastAsia="zh-CN" w:bidi="ar"/>
              </w:rPr>
              <w:t xml:space="preserve"> </w:t>
            </w:r>
            <w:r>
              <w:rPr>
                <w:rFonts w:hint="eastAsia" w:ascii="Times New Roman" w:hAnsi="Times New Roman" w:eastAsia="宋体" w:cs="Times New Roman"/>
                <w:b/>
                <w:bCs w:val="0"/>
                <w:kern w:val="2"/>
                <w:sz w:val="21"/>
                <w:szCs w:val="21"/>
                <w:lang w:val="en-US" w:eastAsia="zh-CN" w:bidi="ar"/>
              </w:rPr>
              <w:t>本煤层瓦斯抽采后瓦斯浓度分布示意图</w:t>
            </w:r>
          </w:p>
          <w:p>
            <w:pPr>
              <w:numPr>
                <w:ilvl w:val="0"/>
                <w:numId w:val="0"/>
              </w:numPr>
              <w:spacing w:line="360" w:lineRule="auto"/>
              <w:jc w:val="left"/>
              <w:rPr>
                <w:rFonts w:hint="eastAsia" w:asciiTheme="minorEastAsia" w:hAnsiTheme="minorEastAsia" w:eastAsiaTheme="minorEastAsia" w:cstheme="minorEastAsia"/>
                <w:kern w:val="0"/>
                <w:sz w:val="24"/>
                <w:szCs w:val="28"/>
                <w:lang w:eastAsia="zh-CN"/>
              </w:rPr>
            </w:pPr>
            <w:r>
              <w:rPr>
                <w:rFonts w:hint="eastAsia" w:asciiTheme="minorEastAsia" w:hAnsiTheme="minorEastAsia" w:eastAsiaTheme="minorEastAsia" w:cstheme="minorEastAsia"/>
                <w:kern w:val="0"/>
                <w:sz w:val="24"/>
                <w:szCs w:val="28"/>
              </w:rPr>
              <w:t>如图</w:t>
            </w:r>
            <w:r>
              <w:rPr>
                <w:rFonts w:hint="eastAsia" w:asciiTheme="minorEastAsia" w:hAnsiTheme="minorEastAsia" w:eastAsiaTheme="minorEastAsia" w:cstheme="minorEastAsia"/>
                <w:kern w:val="0"/>
                <w:sz w:val="24"/>
                <w:szCs w:val="28"/>
                <w:lang w:val="en-US" w:eastAsia="zh-CN"/>
              </w:rPr>
              <w:t>3</w:t>
            </w:r>
            <w:r>
              <w:rPr>
                <w:rFonts w:hint="eastAsia" w:asciiTheme="minorEastAsia" w:hAnsiTheme="minorEastAsia" w:eastAsiaTheme="minorEastAsia" w:cstheme="minorEastAsia"/>
                <w:kern w:val="0"/>
                <w:sz w:val="24"/>
                <w:szCs w:val="28"/>
              </w:rPr>
              <w:t>图中显示，建立的本煤层瓦斯抽采数值模拟模型是选用固体力学和达西定律方程，通过应力、孔隙率、渗透率等变量进行耦合求解，采空区瓦斯抽放的根本目的是降低采空区向工作面的涌出量，保证工作面的安全，因此采空区瓦斯抽采能改变瓦斯分布并能降低瓦斯浓度，采空区瓦斯抽放位置在停采线采空区内部，在抽放负压作用下，深部采空区瓦斯等值线向停采线钻孔移动，在停采线附近形成负压区，说明在抽放负压流量作用下自抽放口位置负压向采空区深部移动对采空区瓦斯的拦截作用越显著，这样保证了上部采空区向工作面涌出的瓦斯降低，虽然采空区瓦斯抽放会导致漏风增加，但是抽放能有效降低采空区气体的积聚</w:t>
            </w:r>
            <w:r>
              <w:rPr>
                <w:rFonts w:hint="eastAsia" w:asciiTheme="minorEastAsia" w:hAnsiTheme="minorEastAsia" w:eastAsiaTheme="minorEastAsia" w:cstheme="minorEastAsia"/>
                <w:kern w:val="0"/>
                <w:sz w:val="24"/>
                <w:szCs w:val="28"/>
                <w:lang w:eastAsia="zh-CN"/>
              </w:rPr>
              <w:t>。</w:t>
            </w:r>
          </w:p>
          <w:p>
            <w:pPr>
              <w:numPr>
                <w:ilvl w:val="0"/>
                <w:numId w:val="0"/>
              </w:numPr>
              <w:ind w:firstLine="482" w:firstLineChars="200"/>
              <w:jc w:val="left"/>
              <w:rPr>
                <w:rFonts w:hint="eastAsia"/>
                <w:b/>
                <w:bCs/>
                <w:sz w:val="24"/>
                <w:szCs w:val="24"/>
                <w:lang w:val="en-US" w:eastAsia="zh-CN"/>
              </w:rPr>
            </w:pPr>
            <w:r>
              <w:rPr>
                <w:rFonts w:hint="eastAsia"/>
                <w:b/>
                <w:bCs/>
                <w:sz w:val="24"/>
                <w:szCs w:val="24"/>
                <w:lang w:val="en-US" w:eastAsia="zh-CN"/>
              </w:rPr>
              <w:t>（4）采煤工作面升压，上部采空区抽放瓦斯效果分析</w:t>
            </w:r>
          </w:p>
          <w:p>
            <w:pPr>
              <w:numPr>
                <w:ilvl w:val="0"/>
                <w:numId w:val="0"/>
              </w:numPr>
              <w:spacing w:line="360" w:lineRule="auto"/>
              <w:jc w:val="left"/>
              <w:rPr>
                <w:rFonts w:hint="eastAsia" w:asciiTheme="minorEastAsia" w:hAnsiTheme="minorEastAsia" w:eastAsiaTheme="minorEastAsia" w:cstheme="minorEastAsia"/>
                <w:kern w:val="0"/>
                <w:sz w:val="24"/>
                <w:szCs w:val="28"/>
              </w:rPr>
            </w:pPr>
            <w:r>
              <w:rPr>
                <w:rFonts w:hint="default" w:ascii="Times New Roman" w:hAnsi="Times New Roman" w:eastAsia="宋体" w:cs="Times New Roman"/>
                <w:sz w:val="24"/>
                <w:szCs w:val="24"/>
              </w:rPr>
              <w:drawing>
                <wp:anchor distT="0" distB="0" distL="114300" distR="114300" simplePos="0" relativeHeight="251661312" behindDoc="0" locked="0" layoutInCell="1" allowOverlap="1">
                  <wp:simplePos x="0" y="0"/>
                  <wp:positionH relativeFrom="column">
                    <wp:posOffset>241300</wp:posOffset>
                  </wp:positionH>
                  <wp:positionV relativeFrom="paragraph">
                    <wp:posOffset>86995</wp:posOffset>
                  </wp:positionV>
                  <wp:extent cx="4620260" cy="2119630"/>
                  <wp:effectExtent l="0" t="0" r="8890" b="13970"/>
                  <wp:wrapSquare wrapText="bothSides"/>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pic:cNvPicPr>
                            <a:picLocks noChangeAspect="1"/>
                          </pic:cNvPicPr>
                        </pic:nvPicPr>
                        <pic:blipFill>
                          <a:blip r:embed="rId7"/>
                          <a:stretch>
                            <a:fillRect/>
                          </a:stretch>
                        </pic:blipFill>
                        <pic:spPr>
                          <a:xfrm>
                            <a:off x="0" y="0"/>
                            <a:ext cx="4620260" cy="2119630"/>
                          </a:xfrm>
                          <a:prstGeom prst="rect">
                            <a:avLst/>
                          </a:prstGeom>
                          <a:noFill/>
                          <a:ln>
                            <a:noFill/>
                          </a:ln>
                        </pic:spPr>
                      </pic:pic>
                    </a:graphicData>
                  </a:graphic>
                </wp:anchor>
              </w:drawing>
            </w:r>
          </w:p>
          <w:p>
            <w:pPr>
              <w:numPr>
                <w:ilvl w:val="0"/>
                <w:numId w:val="0"/>
              </w:numPr>
              <w:spacing w:line="360" w:lineRule="auto"/>
              <w:jc w:val="left"/>
              <w:rPr>
                <w:rFonts w:hint="eastAsia" w:asciiTheme="minorEastAsia" w:hAnsiTheme="minorEastAsia" w:eastAsiaTheme="minorEastAsia" w:cstheme="minorEastAsia"/>
                <w:kern w:val="0"/>
                <w:sz w:val="24"/>
                <w:szCs w:val="28"/>
              </w:rPr>
            </w:pPr>
          </w:p>
          <w:p>
            <w:pPr>
              <w:numPr>
                <w:ilvl w:val="0"/>
                <w:numId w:val="0"/>
              </w:numPr>
              <w:spacing w:line="360" w:lineRule="auto"/>
              <w:jc w:val="left"/>
              <w:rPr>
                <w:rFonts w:hint="eastAsia" w:asciiTheme="minorEastAsia" w:hAnsiTheme="minorEastAsia" w:eastAsiaTheme="minorEastAsia" w:cstheme="minorEastAsia"/>
                <w:kern w:val="0"/>
                <w:sz w:val="24"/>
                <w:szCs w:val="28"/>
              </w:rPr>
            </w:pPr>
          </w:p>
          <w:p>
            <w:pPr>
              <w:numPr>
                <w:ilvl w:val="0"/>
                <w:numId w:val="0"/>
              </w:numPr>
              <w:spacing w:line="360" w:lineRule="auto"/>
              <w:jc w:val="left"/>
              <w:rPr>
                <w:rFonts w:hint="eastAsia" w:asciiTheme="minorEastAsia" w:hAnsiTheme="minorEastAsia" w:eastAsiaTheme="minorEastAsia" w:cstheme="minorEastAsia"/>
                <w:kern w:val="0"/>
                <w:sz w:val="24"/>
                <w:szCs w:val="28"/>
              </w:rPr>
            </w:pPr>
          </w:p>
          <w:p>
            <w:pPr>
              <w:numPr>
                <w:ilvl w:val="0"/>
                <w:numId w:val="0"/>
              </w:numPr>
              <w:spacing w:line="360" w:lineRule="auto"/>
              <w:jc w:val="left"/>
              <w:rPr>
                <w:rFonts w:hint="eastAsia" w:asciiTheme="minorEastAsia" w:hAnsiTheme="minorEastAsia" w:eastAsiaTheme="minorEastAsia" w:cstheme="minorEastAsia"/>
                <w:kern w:val="0"/>
                <w:sz w:val="24"/>
                <w:szCs w:val="28"/>
              </w:rPr>
            </w:pPr>
          </w:p>
          <w:p>
            <w:pPr>
              <w:numPr>
                <w:ilvl w:val="0"/>
                <w:numId w:val="0"/>
              </w:numPr>
              <w:spacing w:line="360" w:lineRule="auto"/>
              <w:jc w:val="left"/>
              <w:rPr>
                <w:rFonts w:hint="eastAsia" w:asciiTheme="minorEastAsia" w:hAnsiTheme="minorEastAsia" w:eastAsiaTheme="minorEastAsia" w:cstheme="minorEastAsia"/>
                <w:kern w:val="0"/>
                <w:sz w:val="24"/>
                <w:szCs w:val="28"/>
              </w:rPr>
            </w:pPr>
          </w:p>
          <w:p>
            <w:pPr>
              <w:numPr>
                <w:ilvl w:val="0"/>
                <w:numId w:val="0"/>
              </w:numPr>
              <w:spacing w:line="360" w:lineRule="auto"/>
              <w:jc w:val="left"/>
              <w:rPr>
                <w:rFonts w:hint="eastAsia" w:asciiTheme="minorEastAsia" w:hAnsiTheme="minorEastAsia" w:eastAsiaTheme="minorEastAsia" w:cstheme="minorEastAsia"/>
                <w:kern w:val="0"/>
                <w:sz w:val="24"/>
                <w:szCs w:val="28"/>
              </w:rPr>
            </w:pPr>
          </w:p>
          <w:p>
            <w:pPr>
              <w:rPr>
                <w:rFonts w:hint="eastAsia" w:ascii="Times New Roman" w:hAnsi="Times New Roman" w:eastAsia="宋体" w:cs="宋体"/>
                <w:b/>
                <w:bCs w:val="0"/>
                <w:kern w:val="2"/>
                <w:sz w:val="21"/>
                <w:szCs w:val="21"/>
                <w:lang w:val="en-US" w:eastAsia="zh-CN" w:bidi="ar"/>
              </w:rPr>
            </w:pPr>
          </w:p>
          <w:p>
            <w:pPr>
              <w:ind w:firstLine="2319" w:firstLineChars="1100"/>
              <w:rPr>
                <w:rFonts w:hint="eastAsia" w:cs="Arial"/>
                <w:sz w:val="28"/>
                <w:lang w:val="en-US" w:eastAsia="zh-CN"/>
              </w:rPr>
            </w:pPr>
            <w:r>
              <w:rPr>
                <w:rFonts w:hint="default" w:ascii="Times New Roman" w:hAnsi="Times New Roman" w:eastAsia="宋体" w:cs="Times New Roman"/>
                <w:b/>
                <w:bCs/>
                <w:sz w:val="21"/>
                <w:szCs w:val="21"/>
                <w:highlight w:val="none"/>
                <w:lang w:eastAsia="zh-CN"/>
              </w:rPr>
              <w:t>图</w:t>
            </w:r>
            <w:r>
              <w:rPr>
                <w:rFonts w:hint="eastAsia" w:cs="Times New Roman"/>
                <w:b/>
                <w:bCs/>
                <w:sz w:val="21"/>
                <w:szCs w:val="21"/>
                <w:highlight w:val="none"/>
                <w:lang w:val="en-US" w:eastAsia="zh-CN"/>
              </w:rPr>
              <w:t>4</w:t>
            </w:r>
            <w:r>
              <w:rPr>
                <w:rFonts w:hint="eastAsia" w:ascii="Times New Roman" w:hAnsi="Times New Roman" w:eastAsia="宋体" w:cs="宋体"/>
                <w:b/>
                <w:bCs w:val="0"/>
                <w:kern w:val="2"/>
                <w:sz w:val="21"/>
                <w:szCs w:val="21"/>
                <w:lang w:val="en-US" w:eastAsia="zh-CN" w:bidi="ar"/>
              </w:rPr>
              <w:t>工作面回风巷平均瓦斯浓度变化示意图</w:t>
            </w:r>
            <w:r>
              <w:rPr>
                <w:rFonts w:hint="eastAsia" w:cs="Arial"/>
                <w:sz w:val="28"/>
                <w:lang w:val="en-US" w:eastAsia="zh-CN"/>
              </w:rPr>
              <w:t xml:space="preserve"> </w:t>
            </w:r>
          </w:p>
          <w:p>
            <w:pPr>
              <w:adjustRightInd w:val="0"/>
              <w:snapToGrid w:val="0"/>
              <w:spacing w:line="360" w:lineRule="auto"/>
              <w:ind w:firstLine="480" w:firstLineChars="200"/>
              <w:rPr>
                <w:rFonts w:hint="default" w:ascii="Times New Roman" w:hAnsi="Times New Roman" w:eastAsia="宋体" w:cs="Times New Roman"/>
                <w:b/>
                <w:bCs/>
                <w:sz w:val="21"/>
                <w:szCs w:val="21"/>
                <w:highlight w:val="none"/>
                <w:lang w:eastAsia="zh-CN"/>
              </w:rPr>
            </w:pPr>
            <w:r>
              <w:rPr>
                <w:rFonts w:hint="eastAsia" w:ascii="宋体" w:hAnsi="宋体" w:eastAsia="宋体" w:cs="宋体"/>
                <w:sz w:val="24"/>
                <w:szCs w:val="24"/>
                <w:lang w:eastAsia="zh-CN"/>
              </w:rPr>
              <w:t>如</w:t>
            </w:r>
            <w:r>
              <w:rPr>
                <w:rFonts w:hint="eastAsia" w:ascii="宋体" w:hAnsi="宋体" w:eastAsia="宋体" w:cs="宋体"/>
                <w:sz w:val="24"/>
                <w:szCs w:val="24"/>
              </w:rPr>
              <w:t>图</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所示，</w:t>
            </w:r>
            <w:r>
              <w:rPr>
                <w:rFonts w:hint="eastAsia" w:ascii="宋体" w:hAnsi="宋体" w:eastAsia="宋体" w:cs="宋体"/>
                <w:sz w:val="24"/>
                <w:szCs w:val="24"/>
              </w:rPr>
              <w:t>自初采至采终回风日均瓦斯浓度。初次来压前回风流中瓦斯浓度约0.08%，初次来压后短期内工作面回风流瓦斯浓度显著增加，第一次初次来压后回风流瓦斯浓度约0.23%。初次来压前回风流中瓦斯基本来自本煤层涌出，初次来压后瓦斯浓度显著增加，增加部分主要来自上部采空区，因此，不考虑风量变化条件下，工作面本煤层涌出瓦斯约占0.08%/0.23%=35%,即该工作面涌出瓦斯中本煤层所占比例为35%，上部采空区涌出量约占65%。</w:t>
            </w:r>
          </w:p>
          <w:p>
            <w:pPr>
              <w:adjustRightInd w:val="0"/>
              <w:snapToGrid w:val="0"/>
              <w:spacing w:line="360" w:lineRule="auto"/>
              <w:jc w:val="center"/>
              <w:rPr>
                <w:rFonts w:hint="default" w:ascii="Times New Roman" w:hAnsi="Times New Roman" w:eastAsia="宋体" w:cs="Times New Roman"/>
                <w:b/>
                <w:bCs/>
                <w:sz w:val="21"/>
                <w:szCs w:val="21"/>
                <w:highlight w:val="none"/>
                <w:lang w:eastAsia="zh-CN"/>
              </w:rPr>
            </w:pPr>
            <w:r>
              <w:rPr>
                <w:rFonts w:hint="eastAsia"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58420</wp:posOffset>
                  </wp:positionH>
                  <wp:positionV relativeFrom="paragraph">
                    <wp:posOffset>81915</wp:posOffset>
                  </wp:positionV>
                  <wp:extent cx="4810125" cy="1914525"/>
                  <wp:effectExtent l="0" t="0" r="9525" b="9525"/>
                  <wp:wrapSquare wrapText="bothSides"/>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8"/>
                          <a:stretch>
                            <a:fillRect/>
                          </a:stretch>
                        </pic:blipFill>
                        <pic:spPr>
                          <a:xfrm>
                            <a:off x="0" y="0"/>
                            <a:ext cx="4810125" cy="1914525"/>
                          </a:xfrm>
                          <a:prstGeom prst="rect">
                            <a:avLst/>
                          </a:prstGeom>
                          <a:noFill/>
                          <a:ln>
                            <a:noFill/>
                          </a:ln>
                        </pic:spPr>
                      </pic:pic>
                    </a:graphicData>
                  </a:graphic>
                </wp:anchor>
              </w:drawing>
            </w:r>
          </w:p>
          <w:p>
            <w:pPr>
              <w:adjustRightInd w:val="0"/>
              <w:snapToGrid w:val="0"/>
              <w:spacing w:line="360" w:lineRule="auto"/>
              <w:jc w:val="center"/>
              <w:rPr>
                <w:rFonts w:hint="default" w:ascii="Times New Roman" w:hAnsi="Times New Roman" w:eastAsia="宋体" w:cs="Times New Roman"/>
                <w:b/>
                <w:bCs/>
                <w:sz w:val="21"/>
                <w:szCs w:val="21"/>
                <w:highlight w:val="none"/>
                <w:lang w:eastAsia="zh-CN"/>
              </w:rPr>
            </w:pPr>
          </w:p>
          <w:p>
            <w:pPr>
              <w:adjustRightInd w:val="0"/>
              <w:snapToGrid w:val="0"/>
              <w:spacing w:line="360" w:lineRule="auto"/>
              <w:jc w:val="center"/>
              <w:rPr>
                <w:rFonts w:hint="default" w:ascii="Times New Roman" w:hAnsi="Times New Roman" w:eastAsia="宋体" w:cs="Times New Roman"/>
                <w:b/>
                <w:bCs/>
                <w:sz w:val="21"/>
                <w:szCs w:val="21"/>
                <w:highlight w:val="none"/>
                <w:lang w:eastAsia="zh-CN"/>
              </w:rPr>
            </w:pPr>
          </w:p>
          <w:p>
            <w:pPr>
              <w:adjustRightInd w:val="0"/>
              <w:snapToGrid w:val="0"/>
              <w:spacing w:line="360" w:lineRule="auto"/>
              <w:jc w:val="center"/>
              <w:rPr>
                <w:rFonts w:hint="default" w:ascii="Times New Roman" w:hAnsi="Times New Roman" w:eastAsia="宋体" w:cs="Times New Roman"/>
                <w:b/>
                <w:bCs/>
                <w:sz w:val="21"/>
                <w:szCs w:val="21"/>
                <w:highlight w:val="none"/>
                <w:lang w:eastAsia="zh-CN"/>
              </w:rPr>
            </w:pPr>
          </w:p>
          <w:p>
            <w:pPr>
              <w:rPr>
                <w:rFonts w:hint="eastAsia" w:cs="Arial"/>
                <w:sz w:val="28"/>
                <w:lang w:val="en-US" w:eastAsia="zh-CN"/>
              </w:rPr>
            </w:pPr>
          </w:p>
          <w:p>
            <w:pPr>
              <w:rPr>
                <w:rFonts w:cs="Arial"/>
                <w:sz w:val="28"/>
              </w:rPr>
            </w:pPr>
          </w:p>
          <w:p>
            <w:pPr>
              <w:adjustRightInd w:val="0"/>
              <w:snapToGrid w:val="0"/>
              <w:spacing w:line="360" w:lineRule="auto"/>
              <w:jc w:val="center"/>
              <w:rPr>
                <w:rFonts w:hint="default" w:ascii="Times New Roman" w:hAnsi="Times New Roman" w:eastAsia="宋体" w:cs="Times New Roman"/>
                <w:b/>
                <w:bCs/>
                <w:sz w:val="21"/>
                <w:szCs w:val="21"/>
                <w:highlight w:val="none"/>
                <w:lang w:eastAsia="zh-CN"/>
              </w:rPr>
            </w:pPr>
          </w:p>
          <w:p>
            <w:pPr>
              <w:adjustRightInd w:val="0"/>
              <w:snapToGrid w:val="0"/>
              <w:spacing w:line="360" w:lineRule="auto"/>
              <w:jc w:val="center"/>
              <w:rPr>
                <w:rFonts w:hint="default" w:ascii="Times New Roman" w:hAnsi="Times New Roman" w:eastAsia="宋体" w:cs="Times New Roman"/>
                <w:b/>
                <w:bCs/>
                <w:sz w:val="21"/>
                <w:szCs w:val="21"/>
                <w:highlight w:val="none"/>
                <w:lang w:eastAsia="zh-CN"/>
              </w:rPr>
            </w:pPr>
          </w:p>
          <w:p>
            <w:pPr>
              <w:adjustRightInd w:val="0"/>
              <w:snapToGrid w:val="0"/>
              <w:spacing w:line="360" w:lineRule="auto"/>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eastAsia="zh-CN"/>
              </w:rPr>
              <w:t>图</w:t>
            </w:r>
            <w:r>
              <w:rPr>
                <w:rFonts w:hint="eastAsia" w:cs="Times New Roman"/>
                <w:b/>
                <w:bCs/>
                <w:sz w:val="21"/>
                <w:szCs w:val="21"/>
                <w:highlight w:val="none"/>
                <w:lang w:val="en-US" w:eastAsia="zh-CN"/>
              </w:rPr>
              <w:t>5</w:t>
            </w:r>
            <w:r>
              <w:rPr>
                <w:rFonts w:hint="eastAsia" w:ascii="Times New Roman" w:hAnsi="Times New Roman" w:eastAsia="宋体" w:cs="Times New Roman"/>
                <w:b/>
                <w:bCs/>
                <w:sz w:val="21"/>
                <w:szCs w:val="21"/>
                <w:highlight w:val="none"/>
                <w:lang w:val="en-US" w:eastAsia="zh-CN"/>
              </w:rPr>
              <w:t xml:space="preserve"> 工作面排放瓦斯量与风排瓦斯量</w:t>
            </w:r>
          </w:p>
          <w:p>
            <w:pPr>
              <w:adjustRightInd w:val="0"/>
              <w:snapToGrid w:val="0"/>
              <w:spacing w:line="360" w:lineRule="auto"/>
              <w:ind w:firstLine="480" w:firstLineChars="200"/>
              <w:rPr>
                <w:rFonts w:hint="eastAsia" w:ascii="宋体" w:hAnsi="宋体" w:eastAsia="宋体" w:cs="宋体"/>
                <w:b/>
                <w:bCs/>
                <w:sz w:val="24"/>
                <w:lang w:val="en-US" w:eastAsia="zh-CN"/>
              </w:rPr>
            </w:pPr>
            <w:r>
              <w:rPr>
                <w:rFonts w:hint="eastAsia" w:ascii="宋体" w:hAnsi="宋体" w:eastAsia="宋体" w:cs="宋体"/>
                <w:sz w:val="24"/>
                <w:szCs w:val="24"/>
              </w:rPr>
              <w:t>上部采空区瓦斯绝对量、采煤工作面瓦斯绝对量的数值监测结果对比中，监测工作面及上部采空区瓦斯以实际出发</w:t>
            </w:r>
            <w:r>
              <w:rPr>
                <w:rFonts w:hint="eastAsia" w:ascii="宋体" w:hAnsi="宋体" w:eastAsia="宋体" w:cs="宋体"/>
                <w:sz w:val="24"/>
                <w:szCs w:val="24"/>
                <w:lang w:eastAsia="zh-CN"/>
              </w:rPr>
              <w:t>，</w:t>
            </w:r>
            <w:r>
              <w:rPr>
                <w:rFonts w:hint="eastAsia" w:ascii="宋体" w:hAnsi="宋体" w:eastAsia="宋体" w:cs="宋体"/>
                <w:sz w:val="24"/>
                <w:szCs w:val="24"/>
              </w:rPr>
              <w:t>数值中包括初次来压和周期性来压等影响，其中采空区瓦斯涌出绝对量以采空区涌出比例与总排放量的比例乘积计算，而瓦斯涌出量为风排量乘以采空区瓦斯涌出比例。现场实际监测的采空区及采煤工作面绝对瓦斯涌出量先增加后降低并趋于稳定，数值结果与之具有相同的变化趋势，结果表明从工作面回风瓦斯平均浓度而言数值较可靠。</w:t>
            </w:r>
          </w:p>
          <w:p>
            <w:pPr>
              <w:widowControl w:val="0"/>
              <w:numPr>
                <w:ilvl w:val="0"/>
                <w:numId w:val="0"/>
              </w:numPr>
              <w:spacing w:line="360" w:lineRule="auto"/>
              <w:ind w:firstLine="482" w:firstLineChars="200"/>
              <w:jc w:val="left"/>
              <w:rPr>
                <w:rFonts w:hint="eastAsia" w:ascii="宋体" w:hAnsi="宋体" w:eastAsia="宋体" w:cs="宋体"/>
                <w:b/>
                <w:bCs/>
                <w:sz w:val="24"/>
                <w:lang w:val="en-US" w:eastAsia="zh-CN"/>
              </w:rPr>
            </w:pPr>
            <w:r>
              <w:rPr>
                <w:rFonts w:hint="eastAsia" w:ascii="宋体" w:hAnsi="宋体" w:cs="宋体"/>
                <w:b/>
                <w:bCs/>
                <w:sz w:val="24"/>
                <w:lang w:val="en-US" w:eastAsia="zh-CN"/>
              </w:rPr>
              <w:t>3、</w:t>
            </w:r>
            <w:r>
              <w:rPr>
                <w:rFonts w:hint="eastAsia" w:ascii="宋体" w:hAnsi="宋体" w:eastAsia="宋体" w:cs="宋体"/>
                <w:b/>
                <w:bCs/>
                <w:sz w:val="24"/>
                <w:lang w:val="en-US" w:eastAsia="zh-CN"/>
              </w:rPr>
              <w:t>创新点</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color w:val="auto"/>
                <w:sz w:val="24"/>
                <w:szCs w:val="24"/>
                <w:lang w:val="en-US" w:eastAsia="zh-CN"/>
              </w:rPr>
              <w:t>）将</w:t>
            </w:r>
            <w:r>
              <w:rPr>
                <w:rFonts w:hint="eastAsia" w:ascii="宋体" w:hAnsi="宋体" w:eastAsia="宋体" w:cs="宋体"/>
                <w:color w:val="auto"/>
                <w:sz w:val="24"/>
                <w:szCs w:val="28"/>
              </w:rPr>
              <w:t>瓦斯监测测定数据</w:t>
            </w:r>
            <w:r>
              <w:rPr>
                <w:rFonts w:hint="eastAsia" w:ascii="宋体" w:hAnsi="宋体" w:eastAsia="宋体" w:cs="宋体"/>
                <w:color w:val="auto"/>
                <w:sz w:val="24"/>
                <w:szCs w:val="28"/>
                <w:lang w:eastAsia="zh-CN"/>
              </w:rPr>
              <w:t>应用</w:t>
            </w:r>
            <w:r>
              <w:rPr>
                <w:rFonts w:hint="eastAsia" w:ascii="宋体" w:hAnsi="宋体" w:eastAsia="宋体" w:cs="宋体"/>
                <w:color w:val="auto"/>
                <w:sz w:val="24"/>
                <w:szCs w:val="28"/>
              </w:rPr>
              <w:t>随机模拟</w:t>
            </w:r>
            <w:r>
              <w:rPr>
                <w:rFonts w:hint="eastAsia" w:ascii="宋体" w:hAnsi="宋体" w:eastAsia="宋体" w:cs="宋体"/>
                <w:color w:val="auto"/>
                <w:sz w:val="24"/>
                <w:szCs w:val="28"/>
                <w:lang w:eastAsia="zh-CN"/>
              </w:rPr>
              <w:t>技术进行关联</w:t>
            </w:r>
            <w:r>
              <w:rPr>
                <w:rFonts w:hint="eastAsia" w:ascii="宋体" w:hAnsi="宋体" w:eastAsia="宋体" w:cs="宋体"/>
                <w:color w:val="auto"/>
                <w:sz w:val="24"/>
                <w:szCs w:val="28"/>
              </w:rPr>
              <w:t>分析，甄别出与瓦斯表现有关联的因素，并找出其间的关</w:t>
            </w:r>
            <w:r>
              <w:rPr>
                <w:rFonts w:hint="eastAsia" w:ascii="宋体" w:hAnsi="宋体" w:eastAsia="宋体" w:cs="宋体"/>
                <w:sz w:val="24"/>
                <w:szCs w:val="28"/>
              </w:rPr>
              <w:t>联规律</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r>
              <w:rPr>
                <w:rFonts w:hint="eastAsia" w:ascii="宋体" w:hAnsi="宋体" w:eastAsia="宋体" w:cs="宋体"/>
                <w:sz w:val="24"/>
                <w:szCs w:val="28"/>
              </w:rPr>
              <w:t>利用矿井主要通风机的总风压与调节风窗构成的升压系统，是在需要改变分支风路的风压关系的风路上设置调节风窗，当风流从风窗过风口流过时增加阻力，使流经窗口的风流产生局部损失，从而提高调节风窗前分支风路的风压。风窗使其前方风流风压升高，使其后方风流风压降低，风窗的风流产生局部损失值就等于需要改变分支风路风压的升压值。当在采煤工作面回风顺槽设置调节窗后，进风巷和采煤工作面的压能将会继续升高，抑制采煤工作面上部采空区内的瓦斯等有害气体泄出。</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eastAsia="宋体" w:cs="宋体"/>
                <w:sz w:val="24"/>
                <w:szCs w:val="28"/>
              </w:rPr>
              <w:t>针对14#煤层8723采煤工作面而言，在降低工作面与上部采空区压差基础上，为保证其防</w:t>
            </w:r>
            <w:r>
              <w:rPr>
                <w:rFonts w:hint="eastAsia" w:ascii="宋体" w:hAnsi="宋体" w:eastAsia="宋体" w:cs="宋体"/>
                <w:sz w:val="24"/>
                <w:szCs w:val="24"/>
              </w:rPr>
              <w:t>治</w:t>
            </w:r>
            <w:r>
              <w:rPr>
                <w:rFonts w:hint="eastAsia" w:ascii="宋体" w:hAnsi="宋体" w:eastAsia="宋体" w:cs="宋体"/>
                <w:sz w:val="24"/>
                <w:szCs w:val="28"/>
              </w:rPr>
              <w:t>瓦</w:t>
            </w:r>
            <w:r>
              <w:rPr>
                <w:rFonts w:hint="eastAsia" w:ascii="宋体" w:hAnsi="宋体" w:eastAsia="宋体" w:cs="宋体"/>
                <w:sz w:val="24"/>
                <w:szCs w:val="24"/>
              </w:rPr>
              <w:t>斯</w:t>
            </w:r>
            <w:r>
              <w:rPr>
                <w:rFonts w:hint="eastAsia" w:ascii="宋体" w:hAnsi="宋体" w:eastAsia="宋体" w:cs="宋体"/>
                <w:sz w:val="24"/>
                <w:szCs w:val="28"/>
              </w:rPr>
              <w:t>的有效性，对该工作面上部采空区同时进行瓦斯抽放，实施</w:t>
            </w:r>
            <w:r>
              <w:rPr>
                <w:rFonts w:hint="eastAsia" w:ascii="宋体" w:hAnsi="宋体" w:eastAsia="宋体" w:cs="宋体"/>
                <w:sz w:val="24"/>
                <w:szCs w:val="28"/>
                <w:lang w:eastAsia="zh-CN"/>
              </w:rPr>
              <w:t>不采用局部通风机的</w:t>
            </w:r>
            <w:r>
              <w:rPr>
                <w:rFonts w:hint="eastAsia" w:ascii="宋体" w:hAnsi="宋体" w:eastAsia="宋体" w:cs="宋体"/>
                <w:sz w:val="24"/>
                <w:szCs w:val="28"/>
              </w:rPr>
              <w:t>升压</w:t>
            </w:r>
            <w:r>
              <w:rPr>
                <w:rFonts w:hint="eastAsia" w:ascii="宋体" w:hAnsi="宋体" w:eastAsia="宋体" w:cs="宋体"/>
                <w:sz w:val="24"/>
                <w:szCs w:val="28"/>
                <w:lang w:eastAsia="zh-CN"/>
              </w:rPr>
              <w:t>及</w:t>
            </w:r>
            <w:r>
              <w:rPr>
                <w:rFonts w:hint="eastAsia" w:ascii="宋体" w:hAnsi="宋体" w:eastAsia="宋体" w:cs="宋体"/>
                <w:sz w:val="24"/>
                <w:szCs w:val="28"/>
              </w:rPr>
              <w:t>抽放综合防治瓦斯措施，起到了良好效果。</w:t>
            </w:r>
          </w:p>
          <w:p>
            <w:pPr>
              <w:widowControl w:val="0"/>
              <w:numPr>
                <w:ilvl w:val="0"/>
                <w:numId w:val="0"/>
              </w:numPr>
              <w:spacing w:line="360" w:lineRule="auto"/>
              <w:ind w:firstLine="480" w:firstLineChars="200"/>
              <w:jc w:val="left"/>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（4）</w:t>
            </w:r>
            <w:r>
              <w:rPr>
                <w:rFonts w:hint="eastAsia" w:ascii="宋体" w:hAnsi="宋体" w:eastAsia="宋体" w:cs="宋体"/>
                <w:kern w:val="0"/>
                <w:sz w:val="24"/>
                <w:szCs w:val="28"/>
              </w:rPr>
              <w:t>采空区瓦斯抽放位置在停采线采空区内部，在抽放负压作用下，深部采空区瓦斯等值线向停采线钻孔移动，在停采线附近形成负压区，说明在抽放负压流量作用下自抽放口位置负压向采空区深部移动对采空区瓦斯的拦截作用越显著，保证了上部采空区向工作面涌出的瓦斯降低</w:t>
            </w:r>
            <w:r>
              <w:rPr>
                <w:rFonts w:hint="eastAsia" w:ascii="宋体" w:hAnsi="宋体" w:eastAsia="宋体" w:cs="宋体"/>
                <w:kern w:val="0"/>
                <w:sz w:val="24"/>
                <w:szCs w:val="28"/>
                <w:lang w:eastAsia="zh-CN"/>
              </w:rPr>
              <w:t>。</w:t>
            </w:r>
          </w:p>
          <w:p>
            <w:pPr>
              <w:widowControl w:val="0"/>
              <w:numPr>
                <w:ilvl w:val="0"/>
                <w:numId w:val="0"/>
              </w:numPr>
              <w:spacing w:line="360" w:lineRule="auto"/>
              <w:ind w:firstLine="482" w:firstLineChars="200"/>
              <w:jc w:val="left"/>
              <w:rPr>
                <w:rFonts w:hint="eastAsia" w:ascii="宋体" w:hAnsi="宋体" w:eastAsia="宋体" w:cs="宋体"/>
                <w:b/>
                <w:bCs/>
                <w:sz w:val="24"/>
                <w:lang w:val="en-US" w:eastAsia="zh-CN"/>
              </w:rPr>
            </w:pPr>
            <w:r>
              <w:rPr>
                <w:rFonts w:hint="eastAsia" w:ascii="宋体" w:hAnsi="宋体" w:cs="宋体"/>
                <w:b/>
                <w:bCs/>
                <w:sz w:val="24"/>
                <w:lang w:val="en-US" w:eastAsia="zh-CN"/>
              </w:rPr>
              <w:t>4</w:t>
            </w:r>
            <w:r>
              <w:rPr>
                <w:rFonts w:hint="eastAsia" w:ascii="宋体" w:hAnsi="宋体" w:eastAsia="宋体" w:cs="宋体"/>
                <w:b/>
                <w:bCs/>
                <w:sz w:val="24"/>
                <w:lang w:val="en-US" w:eastAsia="zh-CN"/>
              </w:rPr>
              <w:t>、应用情况及经济社会效益</w:t>
            </w:r>
          </w:p>
          <w:p>
            <w:pPr>
              <w:widowControl w:val="0"/>
              <w:numPr>
                <w:ilvl w:val="0"/>
                <w:numId w:val="0"/>
              </w:numPr>
              <w:spacing w:line="360" w:lineRule="auto"/>
              <w:ind w:firstLine="480" w:firstLineChars="200"/>
              <w:jc w:val="left"/>
              <w:rPr>
                <w:rFonts w:hint="eastAsia" w:ascii="宋体" w:hAnsi="宋体" w:eastAsia="宋体" w:cs="宋体"/>
                <w:kern w:val="0"/>
                <w:sz w:val="24"/>
                <w:szCs w:val="28"/>
                <w:lang w:val="en-US"/>
              </w:rPr>
            </w:pPr>
            <w:r>
              <w:rPr>
                <w:rFonts w:hint="eastAsia" w:ascii="宋体" w:hAnsi="宋体" w:eastAsia="宋体" w:cs="宋体"/>
                <w:kern w:val="2"/>
                <w:sz w:val="24"/>
                <w:szCs w:val="21"/>
                <w:lang w:val="en-US" w:eastAsia="zh-CN" w:bidi="ar"/>
              </w:rPr>
              <w:t>（1）14#8723工作面生产期间不采用升压风机，节约电耗45万度（按现运行所耗功率计算），每度电按0.78元（依据山西省发改委工业用电取值），节约电费3</w:t>
            </w:r>
            <w:r>
              <w:rPr>
                <w:rFonts w:hint="eastAsia" w:ascii="宋体" w:hAnsi="宋体" w:eastAsia="宋体" w:cs="宋体"/>
                <w:kern w:val="0"/>
                <w:sz w:val="24"/>
                <w:szCs w:val="28"/>
                <w:lang w:val="en-US" w:eastAsia="zh-CN"/>
              </w:rPr>
              <w:t>51000元。</w:t>
            </w:r>
          </w:p>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kern w:val="0"/>
                <w:sz w:val="24"/>
                <w:szCs w:val="28"/>
              </w:rPr>
            </w:pPr>
            <w:r>
              <w:rPr>
                <w:rFonts w:hint="eastAsia" w:ascii="宋体" w:hAnsi="宋体" w:eastAsia="宋体" w:cs="宋体"/>
                <w:kern w:val="0"/>
                <w:sz w:val="24"/>
                <w:szCs w:val="28"/>
                <w:lang w:eastAsia="zh-CN"/>
              </w:rPr>
              <w:t>（</w:t>
            </w:r>
            <w:r>
              <w:rPr>
                <w:rFonts w:hint="eastAsia" w:ascii="宋体" w:hAnsi="宋体" w:eastAsia="宋体" w:cs="宋体"/>
                <w:kern w:val="0"/>
                <w:sz w:val="24"/>
                <w:szCs w:val="28"/>
                <w:lang w:val="en-US" w:eastAsia="zh-CN"/>
              </w:rPr>
              <w:t>2</w:t>
            </w:r>
            <w:r>
              <w:rPr>
                <w:rFonts w:hint="eastAsia" w:ascii="宋体" w:hAnsi="宋体" w:eastAsia="宋体" w:cs="宋体"/>
                <w:kern w:val="0"/>
                <w:sz w:val="24"/>
                <w:szCs w:val="28"/>
                <w:lang w:eastAsia="zh-CN"/>
              </w:rPr>
              <w:t>）</w:t>
            </w:r>
            <w:r>
              <w:rPr>
                <w:rFonts w:hint="eastAsia" w:ascii="宋体" w:hAnsi="宋体" w:eastAsia="宋体" w:cs="宋体"/>
                <w:kern w:val="0"/>
                <w:sz w:val="24"/>
                <w:szCs w:val="28"/>
              </w:rPr>
              <w:t>14#煤层8723采煤工作面</w:t>
            </w:r>
            <w:r>
              <w:rPr>
                <w:rFonts w:hint="eastAsia" w:ascii="宋体" w:hAnsi="宋体" w:eastAsia="宋体" w:cs="宋体"/>
                <w:sz w:val="24"/>
                <w:szCs w:val="28"/>
              </w:rPr>
              <w:t>在降低工作面与上部采空区压差基础上，为保证其防</w:t>
            </w:r>
            <w:r>
              <w:rPr>
                <w:rFonts w:hint="eastAsia" w:ascii="宋体" w:hAnsi="宋体" w:eastAsia="宋体" w:cs="宋体"/>
                <w:sz w:val="24"/>
                <w:szCs w:val="24"/>
              </w:rPr>
              <w:t>治</w:t>
            </w:r>
            <w:r>
              <w:rPr>
                <w:rFonts w:hint="eastAsia" w:ascii="宋体" w:hAnsi="宋体" w:eastAsia="宋体" w:cs="宋体"/>
                <w:sz w:val="24"/>
                <w:szCs w:val="28"/>
              </w:rPr>
              <w:t>瓦</w:t>
            </w:r>
            <w:r>
              <w:rPr>
                <w:rFonts w:hint="eastAsia" w:ascii="宋体" w:hAnsi="宋体" w:eastAsia="宋体" w:cs="宋体"/>
                <w:sz w:val="24"/>
                <w:szCs w:val="24"/>
              </w:rPr>
              <w:t>斯</w:t>
            </w:r>
            <w:r>
              <w:rPr>
                <w:rFonts w:hint="eastAsia" w:ascii="宋体" w:hAnsi="宋体" w:eastAsia="宋体" w:cs="宋体"/>
                <w:sz w:val="24"/>
                <w:szCs w:val="28"/>
              </w:rPr>
              <w:t>的有效性，对该工作面上部采空区同时进行瓦斯抽放，实施</w:t>
            </w:r>
            <w:r>
              <w:rPr>
                <w:rFonts w:hint="eastAsia" w:ascii="宋体" w:hAnsi="宋体" w:eastAsia="宋体" w:cs="宋体"/>
                <w:sz w:val="24"/>
                <w:szCs w:val="28"/>
                <w:lang w:eastAsia="zh-CN"/>
              </w:rPr>
              <w:t>不采用局部通风机的</w:t>
            </w:r>
            <w:r>
              <w:rPr>
                <w:rFonts w:hint="eastAsia" w:ascii="宋体" w:hAnsi="宋体" w:eastAsia="宋体" w:cs="宋体"/>
                <w:sz w:val="24"/>
                <w:szCs w:val="28"/>
              </w:rPr>
              <w:t>升压</w:t>
            </w:r>
            <w:r>
              <w:rPr>
                <w:rFonts w:hint="eastAsia" w:ascii="宋体" w:hAnsi="宋体" w:eastAsia="宋体" w:cs="宋体"/>
                <w:sz w:val="24"/>
                <w:szCs w:val="28"/>
                <w:lang w:eastAsia="zh-CN"/>
              </w:rPr>
              <w:t>及</w:t>
            </w:r>
            <w:r>
              <w:rPr>
                <w:rFonts w:hint="eastAsia" w:ascii="宋体" w:hAnsi="宋体" w:eastAsia="宋体" w:cs="宋体"/>
                <w:sz w:val="24"/>
                <w:szCs w:val="28"/>
              </w:rPr>
              <w:t>抽放综合防治瓦斯措施</w:t>
            </w:r>
            <w:r>
              <w:rPr>
                <w:rFonts w:hint="eastAsia" w:ascii="宋体" w:hAnsi="宋体" w:eastAsia="宋体" w:cs="宋体"/>
                <w:kern w:val="0"/>
                <w:sz w:val="24"/>
                <w:szCs w:val="28"/>
              </w:rPr>
              <w:t>，在防治瓦斯工作中起到了良好效果，保证了采煤工作面的安全开采，值得推广和应用。</w:t>
            </w:r>
          </w:p>
          <w:p>
            <w:pPr>
              <w:rPr>
                <w:rFonts w:hint="eastAsia" w:cs="Arial"/>
                <w:sz w:val="28"/>
              </w:rPr>
            </w:pPr>
          </w:p>
          <w:p>
            <w:pPr>
              <w:rPr>
                <w:rFonts w:cs="Arial"/>
                <w:sz w:val="28"/>
              </w:rPr>
            </w:pPr>
          </w:p>
          <w:p>
            <w:pPr>
              <w:rPr>
                <w:rFonts w:cs="Arial"/>
                <w:sz w:val="28"/>
              </w:rPr>
            </w:pPr>
          </w:p>
          <w:p>
            <w:pPr>
              <w:rPr>
                <w:rFonts w:cs="Arial"/>
                <w:sz w:val="28"/>
              </w:rPr>
            </w:pPr>
          </w:p>
          <w:p>
            <w:pPr>
              <w:rPr>
                <w:rFonts w:cs="Arial"/>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6CDB"/>
    <w:multiLevelType w:val="singleLevel"/>
    <w:tmpl w:val="4C896CD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24348"/>
    <w:rsid w:val="02C135AE"/>
    <w:rsid w:val="048F161C"/>
    <w:rsid w:val="06FE51E5"/>
    <w:rsid w:val="07F46299"/>
    <w:rsid w:val="091217C0"/>
    <w:rsid w:val="0CFC069A"/>
    <w:rsid w:val="19020884"/>
    <w:rsid w:val="199E215B"/>
    <w:rsid w:val="21B57EFC"/>
    <w:rsid w:val="244A6B75"/>
    <w:rsid w:val="29C33219"/>
    <w:rsid w:val="2E116A9E"/>
    <w:rsid w:val="31A520D8"/>
    <w:rsid w:val="31B15FFF"/>
    <w:rsid w:val="32FB41BE"/>
    <w:rsid w:val="33050B95"/>
    <w:rsid w:val="351916B8"/>
    <w:rsid w:val="3A1F01B4"/>
    <w:rsid w:val="3C0E0E19"/>
    <w:rsid w:val="3DBA06E3"/>
    <w:rsid w:val="3F5D5A69"/>
    <w:rsid w:val="3FF277BE"/>
    <w:rsid w:val="401B2FAB"/>
    <w:rsid w:val="41B12EED"/>
    <w:rsid w:val="4E5E438F"/>
    <w:rsid w:val="53E6388D"/>
    <w:rsid w:val="5842050A"/>
    <w:rsid w:val="5E696038"/>
    <w:rsid w:val="626658F8"/>
    <w:rsid w:val="65D6295B"/>
    <w:rsid w:val="66077C6A"/>
    <w:rsid w:val="6AC8602E"/>
    <w:rsid w:val="6BBE0759"/>
    <w:rsid w:val="6C236D76"/>
    <w:rsid w:val="6E8F46F9"/>
    <w:rsid w:val="71670147"/>
    <w:rsid w:val="762926A5"/>
    <w:rsid w:val="78D75737"/>
    <w:rsid w:val="78FD47B5"/>
    <w:rsid w:val="7AAC31AC"/>
    <w:rsid w:val="7AE73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2019-12-13T01:59:25Z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